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7B15D" w14:textId="77777777" w:rsidR="00AE6C9D" w:rsidRDefault="00AE6C9D" w:rsidP="00727E2D"/>
    <w:tbl>
      <w:tblPr>
        <w:tblpPr w:leftFromText="180" w:rightFromText="180" w:vertAnchor="text" w:horzAnchor="margin" w:tblpY="163"/>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544"/>
        <w:gridCol w:w="7062"/>
      </w:tblGrid>
      <w:tr w:rsidR="00F6270D" w:rsidRPr="00B85868" w14:paraId="27ECA165" w14:textId="77777777" w:rsidTr="33524FD7">
        <w:trPr>
          <w:cantSplit/>
          <w:trHeight w:val="694"/>
        </w:trPr>
        <w:tc>
          <w:tcPr>
            <w:tcW w:w="2544" w:type="dxa"/>
            <w:shd w:val="clear" w:color="auto" w:fill="548DD4"/>
            <w:vAlign w:val="center"/>
          </w:tcPr>
          <w:p w14:paraId="6ACBF20F" w14:textId="77777777" w:rsidR="00F6270D" w:rsidRPr="00EA6468" w:rsidRDefault="00F6270D" w:rsidP="00EA6468">
            <w:pPr>
              <w:pStyle w:val="Heading3"/>
              <w:spacing w:before="100" w:beforeAutospacing="1" w:after="100" w:afterAutospacing="1"/>
              <w:contextualSpacing/>
              <w:rPr>
                <w:rFonts w:eastAsia="MS Mincho"/>
                <w:color w:val="FFFFFF" w:themeColor="background1"/>
              </w:rPr>
            </w:pPr>
            <w:bookmarkStart w:id="0" w:name="_Toc94964334"/>
            <w:r w:rsidRPr="00EA6468">
              <w:rPr>
                <w:rFonts w:eastAsia="MS Mincho"/>
                <w:color w:val="FFFFFF" w:themeColor="background1"/>
              </w:rPr>
              <w:t>Policy Name</w:t>
            </w:r>
            <w:bookmarkEnd w:id="0"/>
          </w:p>
        </w:tc>
        <w:tc>
          <w:tcPr>
            <w:tcW w:w="7062" w:type="dxa"/>
            <w:shd w:val="clear" w:color="auto" w:fill="548DD4"/>
            <w:vAlign w:val="center"/>
          </w:tcPr>
          <w:p w14:paraId="2D1208E9" w14:textId="6096ED68" w:rsidR="00F6270D" w:rsidRPr="00EA6468" w:rsidRDefault="004B4B06" w:rsidP="00EA6468">
            <w:pPr>
              <w:pStyle w:val="Heading3"/>
              <w:ind w:left="32" w:hanging="32"/>
              <w:contextualSpacing/>
              <w:rPr>
                <w:rFonts w:eastAsia="MS Mincho"/>
                <w:color w:val="FFFFFF" w:themeColor="background1"/>
              </w:rPr>
            </w:pPr>
            <w:r>
              <w:rPr>
                <w:rFonts w:eastAsia="MS Mincho"/>
                <w:color w:val="FFFFFF" w:themeColor="background1"/>
              </w:rPr>
              <w:t>Data Protection (UK GDPR) Policy</w:t>
            </w:r>
          </w:p>
        </w:tc>
      </w:tr>
      <w:tr w:rsidR="00F6270D" w:rsidRPr="00B85868" w14:paraId="16A31C04" w14:textId="77777777" w:rsidTr="33524FD7">
        <w:trPr>
          <w:cantSplit/>
          <w:trHeight w:val="423"/>
        </w:trPr>
        <w:tc>
          <w:tcPr>
            <w:tcW w:w="2544" w:type="dxa"/>
            <w:shd w:val="clear" w:color="auto" w:fill="D9E2F3" w:themeFill="accent1" w:themeFillTint="33"/>
            <w:vAlign w:val="center"/>
          </w:tcPr>
          <w:p w14:paraId="3BF875DC" w14:textId="77777777" w:rsidR="00F6270D" w:rsidRPr="00781DF4" w:rsidRDefault="0344FB17" w:rsidP="00EA6468">
            <w:pPr>
              <w:contextualSpacing/>
              <w:rPr>
                <w:rFonts w:eastAsia="MS Mincho"/>
              </w:rPr>
            </w:pPr>
            <w:r w:rsidRPr="33524FD7">
              <w:rPr>
                <w:rFonts w:eastAsia="MS Mincho"/>
              </w:rPr>
              <w:t xml:space="preserve">Policy </w:t>
            </w:r>
            <w:bookmarkStart w:id="1" w:name="_Int_40bVSR2K"/>
            <w:proofErr w:type="gramStart"/>
            <w:r w:rsidRPr="33524FD7">
              <w:rPr>
                <w:rFonts w:eastAsia="MS Mincho"/>
              </w:rPr>
              <w:t>Lead</w:t>
            </w:r>
            <w:bookmarkEnd w:id="1"/>
            <w:proofErr w:type="gramEnd"/>
          </w:p>
        </w:tc>
        <w:tc>
          <w:tcPr>
            <w:tcW w:w="7062" w:type="dxa"/>
            <w:vAlign w:val="center"/>
          </w:tcPr>
          <w:p w14:paraId="45CE4E6A" w14:textId="440E2B9E" w:rsidR="00F6270D" w:rsidRDefault="00FC4D36" w:rsidP="00EA6468">
            <w:pPr>
              <w:contextualSpacing/>
              <w:rPr>
                <w:rFonts w:eastAsia="MS Mincho"/>
              </w:rPr>
            </w:pPr>
            <w:r>
              <w:rPr>
                <w:rFonts w:eastAsia="MS Mincho"/>
              </w:rPr>
              <w:t>Head of Compliance and Data Systems</w:t>
            </w:r>
          </w:p>
        </w:tc>
      </w:tr>
      <w:tr w:rsidR="00F6270D" w:rsidRPr="00B85868" w14:paraId="2281897F" w14:textId="77777777" w:rsidTr="33524FD7">
        <w:trPr>
          <w:cantSplit/>
          <w:trHeight w:val="401"/>
        </w:trPr>
        <w:tc>
          <w:tcPr>
            <w:tcW w:w="2544" w:type="dxa"/>
            <w:shd w:val="clear" w:color="auto" w:fill="D9E2F3" w:themeFill="accent1" w:themeFillTint="33"/>
            <w:vAlign w:val="center"/>
          </w:tcPr>
          <w:p w14:paraId="0A768153" w14:textId="77777777" w:rsidR="00F6270D" w:rsidRPr="00781DF4" w:rsidRDefault="00B70E60" w:rsidP="00EA6468">
            <w:pPr>
              <w:contextualSpacing/>
              <w:rPr>
                <w:rFonts w:eastAsia="MS Mincho"/>
              </w:rPr>
            </w:pPr>
            <w:r>
              <w:rPr>
                <w:rFonts w:eastAsia="MS Mincho"/>
              </w:rPr>
              <w:t xml:space="preserve">Original </w:t>
            </w:r>
            <w:r w:rsidR="00F6270D">
              <w:rPr>
                <w:rFonts w:eastAsia="MS Mincho"/>
              </w:rPr>
              <w:t>Issue</w:t>
            </w:r>
            <w:r w:rsidR="00F6270D" w:rsidRPr="00781DF4">
              <w:rPr>
                <w:rFonts w:eastAsia="MS Mincho"/>
              </w:rPr>
              <w:t xml:space="preserve"> Date</w:t>
            </w:r>
          </w:p>
        </w:tc>
        <w:tc>
          <w:tcPr>
            <w:tcW w:w="7062" w:type="dxa"/>
            <w:vAlign w:val="center"/>
          </w:tcPr>
          <w:p w14:paraId="7F4C05A5" w14:textId="5A4F5D79" w:rsidR="00F6270D" w:rsidRPr="00B85868" w:rsidRDefault="00AC095B" w:rsidP="00EA6468">
            <w:pPr>
              <w:ind w:left="0" w:firstLine="0"/>
              <w:contextualSpacing/>
              <w:rPr>
                <w:rFonts w:eastAsia="MS Mincho"/>
              </w:rPr>
            </w:pPr>
            <w:r>
              <w:rPr>
                <w:rFonts w:eastAsia="MS Mincho"/>
              </w:rPr>
              <w:t>May 2017</w:t>
            </w:r>
            <w:r w:rsidR="00B70E60">
              <w:rPr>
                <w:rFonts w:eastAsia="MS Mincho"/>
              </w:rPr>
              <w:t xml:space="preserve"> (At version 1)</w:t>
            </w:r>
          </w:p>
        </w:tc>
      </w:tr>
      <w:tr w:rsidR="00F6270D" w:rsidRPr="00B85868" w14:paraId="48A060C1" w14:textId="77777777" w:rsidTr="33524FD7">
        <w:trPr>
          <w:cantSplit/>
          <w:trHeight w:val="407"/>
        </w:trPr>
        <w:tc>
          <w:tcPr>
            <w:tcW w:w="2544" w:type="dxa"/>
            <w:shd w:val="clear" w:color="auto" w:fill="D9E2F3" w:themeFill="accent1" w:themeFillTint="33"/>
            <w:vAlign w:val="center"/>
          </w:tcPr>
          <w:p w14:paraId="5E849F08" w14:textId="77777777" w:rsidR="00F6270D" w:rsidRPr="00781DF4" w:rsidRDefault="00F6270D" w:rsidP="00EA6468">
            <w:pPr>
              <w:contextualSpacing/>
              <w:rPr>
                <w:rFonts w:eastAsia="MS Mincho"/>
              </w:rPr>
            </w:pPr>
            <w:r>
              <w:rPr>
                <w:rFonts w:eastAsia="MS Mincho"/>
              </w:rPr>
              <w:t xml:space="preserve">Last </w:t>
            </w:r>
            <w:r w:rsidRPr="00781DF4">
              <w:rPr>
                <w:rFonts w:eastAsia="MS Mincho"/>
              </w:rPr>
              <w:t>Review Date</w:t>
            </w:r>
          </w:p>
        </w:tc>
        <w:tc>
          <w:tcPr>
            <w:tcW w:w="7062" w:type="dxa"/>
            <w:vAlign w:val="center"/>
          </w:tcPr>
          <w:p w14:paraId="20D5E434" w14:textId="441EF492" w:rsidR="00F6270D" w:rsidRPr="00B85868" w:rsidRDefault="00FC4D36" w:rsidP="00EA6468">
            <w:pPr>
              <w:ind w:left="0" w:firstLine="0"/>
              <w:contextualSpacing/>
              <w:rPr>
                <w:rFonts w:eastAsia="MS Mincho"/>
              </w:rPr>
            </w:pPr>
            <w:r>
              <w:rPr>
                <w:rFonts w:eastAsia="MS Mincho"/>
              </w:rPr>
              <w:t>Jan 202</w:t>
            </w:r>
            <w:r w:rsidR="00AF33DF">
              <w:rPr>
                <w:rFonts w:eastAsia="MS Mincho"/>
              </w:rPr>
              <w:t>6</w:t>
            </w:r>
          </w:p>
        </w:tc>
      </w:tr>
      <w:tr w:rsidR="00F6270D" w:rsidRPr="00B85868" w14:paraId="465E6E5E" w14:textId="77777777" w:rsidTr="33524FD7">
        <w:trPr>
          <w:cantSplit/>
          <w:trHeight w:val="412"/>
        </w:trPr>
        <w:tc>
          <w:tcPr>
            <w:tcW w:w="2544" w:type="dxa"/>
            <w:shd w:val="clear" w:color="auto" w:fill="D9E2F3" w:themeFill="accent1" w:themeFillTint="33"/>
            <w:vAlign w:val="center"/>
          </w:tcPr>
          <w:p w14:paraId="4BAC98FD" w14:textId="77777777" w:rsidR="00F6270D" w:rsidRPr="00781DF4" w:rsidRDefault="00F6270D" w:rsidP="00EA6468">
            <w:pPr>
              <w:contextualSpacing/>
              <w:rPr>
                <w:rFonts w:eastAsia="MS Mincho"/>
              </w:rPr>
            </w:pPr>
            <w:r>
              <w:rPr>
                <w:rFonts w:eastAsia="MS Mincho"/>
              </w:rPr>
              <w:t xml:space="preserve">Next </w:t>
            </w:r>
            <w:r w:rsidRPr="00781DF4">
              <w:rPr>
                <w:rFonts w:eastAsia="MS Mincho"/>
              </w:rPr>
              <w:t>Review Date</w:t>
            </w:r>
          </w:p>
        </w:tc>
        <w:tc>
          <w:tcPr>
            <w:tcW w:w="7062" w:type="dxa"/>
            <w:vAlign w:val="center"/>
          </w:tcPr>
          <w:p w14:paraId="377609B0" w14:textId="008EF2C7" w:rsidR="00F6270D" w:rsidRDefault="00FC4D36" w:rsidP="00EA6468">
            <w:pPr>
              <w:ind w:left="0" w:firstLine="0"/>
              <w:contextualSpacing/>
              <w:rPr>
                <w:rFonts w:eastAsia="MS Mincho"/>
              </w:rPr>
            </w:pPr>
            <w:r>
              <w:rPr>
                <w:rFonts w:eastAsia="MS Mincho"/>
              </w:rPr>
              <w:t>Jan 202</w:t>
            </w:r>
            <w:r w:rsidR="00AF33DF">
              <w:rPr>
                <w:rFonts w:eastAsia="MS Mincho"/>
              </w:rPr>
              <w:t>8</w:t>
            </w:r>
          </w:p>
        </w:tc>
      </w:tr>
      <w:tr w:rsidR="00F6270D" w:rsidRPr="00B85868" w14:paraId="08CD9116" w14:textId="77777777" w:rsidTr="33524FD7">
        <w:trPr>
          <w:cantSplit/>
          <w:trHeight w:val="405"/>
        </w:trPr>
        <w:tc>
          <w:tcPr>
            <w:tcW w:w="2544" w:type="dxa"/>
            <w:shd w:val="clear" w:color="auto" w:fill="D9E2F3" w:themeFill="accent1" w:themeFillTint="33"/>
            <w:vAlign w:val="center"/>
          </w:tcPr>
          <w:p w14:paraId="2FBCE64A" w14:textId="77777777" w:rsidR="00F6270D" w:rsidRPr="00781DF4" w:rsidRDefault="00F6270D" w:rsidP="00EA6468">
            <w:pPr>
              <w:contextualSpacing/>
              <w:rPr>
                <w:rFonts w:eastAsia="MS Mincho"/>
              </w:rPr>
            </w:pPr>
            <w:r w:rsidRPr="00781DF4">
              <w:rPr>
                <w:rFonts w:eastAsia="MS Mincho"/>
              </w:rPr>
              <w:t>Version</w:t>
            </w:r>
          </w:p>
        </w:tc>
        <w:tc>
          <w:tcPr>
            <w:tcW w:w="7062" w:type="dxa"/>
            <w:vAlign w:val="center"/>
          </w:tcPr>
          <w:p w14:paraId="7CDB6C10" w14:textId="4EFEB8B9" w:rsidR="00F6270D" w:rsidRPr="00B85868" w:rsidRDefault="00AF33DF" w:rsidP="00EA6468">
            <w:pPr>
              <w:contextualSpacing/>
              <w:rPr>
                <w:rFonts w:eastAsia="MS Mincho"/>
              </w:rPr>
            </w:pPr>
            <w:r>
              <w:rPr>
                <w:rFonts w:eastAsia="MS Mincho"/>
              </w:rPr>
              <w:t>6</w:t>
            </w:r>
          </w:p>
        </w:tc>
      </w:tr>
      <w:tr w:rsidR="00F6270D" w:rsidRPr="00B85868" w14:paraId="66F821BE" w14:textId="77777777" w:rsidTr="33524FD7">
        <w:trPr>
          <w:cantSplit/>
          <w:trHeight w:val="410"/>
        </w:trPr>
        <w:tc>
          <w:tcPr>
            <w:tcW w:w="2544" w:type="dxa"/>
            <w:shd w:val="clear" w:color="auto" w:fill="D9E2F3" w:themeFill="accent1" w:themeFillTint="33"/>
            <w:vAlign w:val="center"/>
          </w:tcPr>
          <w:p w14:paraId="5143A26D" w14:textId="77777777" w:rsidR="00F6270D" w:rsidRPr="00781DF4" w:rsidRDefault="00F6270D" w:rsidP="00EA6468">
            <w:pPr>
              <w:contextualSpacing/>
              <w:rPr>
                <w:rFonts w:eastAsia="MS Mincho"/>
              </w:rPr>
            </w:pPr>
            <w:r w:rsidRPr="00781DF4">
              <w:rPr>
                <w:rFonts w:eastAsia="MS Mincho"/>
              </w:rPr>
              <w:t>Authorised by</w:t>
            </w:r>
          </w:p>
        </w:tc>
        <w:tc>
          <w:tcPr>
            <w:tcW w:w="7062" w:type="dxa"/>
            <w:vAlign w:val="center"/>
          </w:tcPr>
          <w:p w14:paraId="2ABB1A99" w14:textId="767E59CE" w:rsidR="00F6270D" w:rsidRDefault="00FC4D36" w:rsidP="00EA6468">
            <w:pPr>
              <w:contextualSpacing/>
              <w:rPr>
                <w:rFonts w:eastAsia="MS Mincho"/>
              </w:rPr>
            </w:pPr>
            <w:r>
              <w:rPr>
                <w:rFonts w:eastAsia="MS Mincho"/>
              </w:rPr>
              <w:t>SMT</w:t>
            </w:r>
          </w:p>
        </w:tc>
      </w:tr>
      <w:tr w:rsidR="00F6270D" w:rsidRPr="00B85868" w14:paraId="17B3BAA3" w14:textId="77777777" w:rsidTr="33524FD7">
        <w:trPr>
          <w:cantSplit/>
          <w:trHeight w:val="416"/>
        </w:trPr>
        <w:tc>
          <w:tcPr>
            <w:tcW w:w="2544" w:type="dxa"/>
            <w:shd w:val="clear" w:color="auto" w:fill="D9E2F3" w:themeFill="accent1" w:themeFillTint="33"/>
            <w:vAlign w:val="center"/>
          </w:tcPr>
          <w:p w14:paraId="58335EC6" w14:textId="77777777" w:rsidR="00F6270D" w:rsidRPr="00781DF4" w:rsidRDefault="00F6270D" w:rsidP="00EA6468">
            <w:pPr>
              <w:contextualSpacing/>
              <w:rPr>
                <w:rFonts w:eastAsia="MS Mincho"/>
              </w:rPr>
            </w:pPr>
            <w:r>
              <w:rPr>
                <w:rFonts w:eastAsia="MS Mincho"/>
              </w:rPr>
              <w:t>Signature</w:t>
            </w:r>
            <w:r w:rsidR="00EA6468">
              <w:rPr>
                <w:rFonts w:eastAsia="MS Mincho"/>
              </w:rPr>
              <w:t>/Board Ref</w:t>
            </w:r>
          </w:p>
        </w:tc>
        <w:tc>
          <w:tcPr>
            <w:tcW w:w="7062" w:type="dxa"/>
            <w:vAlign w:val="center"/>
          </w:tcPr>
          <w:p w14:paraId="45C7A939" w14:textId="13C4FF70" w:rsidR="00F6270D" w:rsidRDefault="00F6270D" w:rsidP="00EA6468">
            <w:pPr>
              <w:contextualSpacing/>
              <w:rPr>
                <w:rFonts w:eastAsia="MS Mincho"/>
              </w:rPr>
            </w:pPr>
          </w:p>
        </w:tc>
      </w:tr>
    </w:tbl>
    <w:p w14:paraId="650BCB44" w14:textId="77777777" w:rsidR="00F6270D" w:rsidRDefault="00F6270D" w:rsidP="00727E2D"/>
    <w:p w14:paraId="1081D78F" w14:textId="77777777" w:rsidR="00727E2D" w:rsidRPr="00B70E60" w:rsidRDefault="00727E2D" w:rsidP="00727E2D">
      <w:pPr>
        <w:ind w:left="0" w:firstLine="0"/>
        <w:rPr>
          <w:b/>
          <w:bCs/>
        </w:rPr>
      </w:pPr>
      <w:r w:rsidRPr="00B70E60">
        <w:rPr>
          <w:b/>
          <w:bCs/>
        </w:rPr>
        <w:t>Contents</w:t>
      </w:r>
      <w:r w:rsidR="00EA6468">
        <w:rPr>
          <w:b/>
          <w:bCs/>
        </w:rPr>
        <w:t xml:space="preserve"> of this policy document</w:t>
      </w:r>
    </w:p>
    <w:tbl>
      <w:tblPr>
        <w:tblpPr w:leftFromText="180" w:rightFromText="180" w:vertAnchor="text" w:horzAnchor="margin" w:tblpY="163"/>
        <w:tblW w:w="94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26"/>
        <w:gridCol w:w="7088"/>
        <w:gridCol w:w="1276"/>
      </w:tblGrid>
      <w:tr w:rsidR="00B70E60" w:rsidRPr="00B85868" w14:paraId="28BE182F" w14:textId="77777777" w:rsidTr="00B70E60">
        <w:trPr>
          <w:cantSplit/>
        </w:trPr>
        <w:tc>
          <w:tcPr>
            <w:tcW w:w="1126" w:type="dxa"/>
            <w:shd w:val="clear" w:color="auto" w:fill="548DD4"/>
          </w:tcPr>
          <w:p w14:paraId="603732FB" w14:textId="77777777" w:rsidR="00B70E60" w:rsidRPr="00B70E60" w:rsidRDefault="00B70E60" w:rsidP="00FE715C">
            <w:pPr>
              <w:spacing w:after="0"/>
              <w:jc w:val="both"/>
              <w:rPr>
                <w:rFonts w:eastAsia="MS Mincho"/>
                <w:b/>
                <w:color w:val="FFFFFF"/>
                <w:szCs w:val="22"/>
                <w:lang w:val="en-US"/>
              </w:rPr>
            </w:pPr>
            <w:r w:rsidRPr="00B70E60">
              <w:rPr>
                <w:rFonts w:eastAsia="MS Mincho"/>
                <w:b/>
                <w:color w:val="FFFFFF"/>
                <w:szCs w:val="22"/>
                <w:lang w:val="en-US"/>
              </w:rPr>
              <w:t>Section</w:t>
            </w:r>
          </w:p>
        </w:tc>
        <w:tc>
          <w:tcPr>
            <w:tcW w:w="7088" w:type="dxa"/>
            <w:shd w:val="clear" w:color="auto" w:fill="548DD4"/>
          </w:tcPr>
          <w:p w14:paraId="40ABC391" w14:textId="77777777" w:rsidR="00B70E60" w:rsidRPr="00B70E60" w:rsidRDefault="00B70E60" w:rsidP="00FE715C">
            <w:pPr>
              <w:spacing w:after="0"/>
              <w:jc w:val="both"/>
              <w:rPr>
                <w:rFonts w:eastAsia="MS Mincho"/>
                <w:b/>
                <w:color w:val="FFFFFF"/>
                <w:szCs w:val="22"/>
                <w:lang w:val="en-US"/>
              </w:rPr>
            </w:pPr>
          </w:p>
        </w:tc>
        <w:tc>
          <w:tcPr>
            <w:tcW w:w="1276" w:type="dxa"/>
            <w:shd w:val="clear" w:color="auto" w:fill="548DD4"/>
          </w:tcPr>
          <w:p w14:paraId="187A593C" w14:textId="77777777" w:rsidR="00B70E60" w:rsidRPr="00B70E60" w:rsidRDefault="00B70E60" w:rsidP="00FE715C">
            <w:pPr>
              <w:spacing w:after="0"/>
              <w:jc w:val="both"/>
              <w:rPr>
                <w:rFonts w:eastAsia="MS Mincho"/>
                <w:b/>
                <w:color w:val="FFFFFF"/>
                <w:szCs w:val="22"/>
                <w:lang w:val="en-US"/>
              </w:rPr>
            </w:pPr>
            <w:r w:rsidRPr="00B70E60">
              <w:rPr>
                <w:rFonts w:eastAsia="MS Mincho"/>
                <w:b/>
                <w:color w:val="FFFFFF"/>
                <w:szCs w:val="22"/>
                <w:lang w:val="en-US"/>
              </w:rPr>
              <w:t>Page No</w:t>
            </w:r>
          </w:p>
        </w:tc>
      </w:tr>
      <w:tr w:rsidR="002718D7" w:rsidRPr="00B85868" w14:paraId="03E6A90A" w14:textId="77777777" w:rsidTr="00DE52F8">
        <w:trPr>
          <w:cantSplit/>
          <w:trHeight w:val="408"/>
        </w:trPr>
        <w:tc>
          <w:tcPr>
            <w:tcW w:w="1126" w:type="dxa"/>
            <w:shd w:val="clear" w:color="auto" w:fill="D9E2F3" w:themeFill="accent1" w:themeFillTint="33"/>
            <w:vAlign w:val="center"/>
          </w:tcPr>
          <w:p w14:paraId="1FB27E32" w14:textId="77777777" w:rsidR="002718D7" w:rsidRPr="00B70E60" w:rsidRDefault="002718D7" w:rsidP="00EA6468">
            <w:pPr>
              <w:spacing w:after="0"/>
              <w:ind w:left="0" w:firstLine="0"/>
              <w:contextualSpacing/>
              <w:rPr>
                <w:rFonts w:eastAsia="MS Mincho"/>
                <w:szCs w:val="22"/>
                <w:lang w:val="en-US"/>
              </w:rPr>
            </w:pPr>
            <w:r>
              <w:rPr>
                <w:rFonts w:eastAsia="MS Mincho"/>
                <w:szCs w:val="22"/>
                <w:lang w:val="en-US"/>
              </w:rPr>
              <w:t>1</w:t>
            </w:r>
          </w:p>
        </w:tc>
        <w:tc>
          <w:tcPr>
            <w:tcW w:w="7088" w:type="dxa"/>
            <w:vAlign w:val="center"/>
          </w:tcPr>
          <w:p w14:paraId="1DA003B5" w14:textId="77777777" w:rsidR="002718D7" w:rsidRPr="004C2CBF" w:rsidRDefault="004C723D" w:rsidP="00494C85">
            <w:pPr>
              <w:pStyle w:val="TOCHeading"/>
              <w:rPr>
                <w:rFonts w:eastAsia="MS Mincho"/>
              </w:rPr>
            </w:pPr>
            <w:r>
              <w:rPr>
                <w:rFonts w:eastAsia="MS Mincho"/>
              </w:rPr>
              <w:t>Policy statement</w:t>
            </w:r>
          </w:p>
        </w:tc>
        <w:tc>
          <w:tcPr>
            <w:tcW w:w="1276" w:type="dxa"/>
            <w:vAlign w:val="center"/>
          </w:tcPr>
          <w:p w14:paraId="1EBAEB6E" w14:textId="216827F6" w:rsidR="002718D7" w:rsidRPr="00B70E60" w:rsidRDefault="00AC095B" w:rsidP="00EA6468">
            <w:pPr>
              <w:spacing w:after="0"/>
              <w:ind w:left="0" w:firstLine="0"/>
              <w:contextualSpacing/>
              <w:jc w:val="center"/>
              <w:rPr>
                <w:rFonts w:eastAsia="MS Mincho"/>
                <w:szCs w:val="22"/>
                <w:lang w:val="en-US"/>
              </w:rPr>
            </w:pPr>
            <w:r>
              <w:rPr>
                <w:rFonts w:eastAsia="MS Mincho"/>
                <w:szCs w:val="22"/>
                <w:lang w:val="en-US"/>
              </w:rPr>
              <w:t>2</w:t>
            </w:r>
          </w:p>
        </w:tc>
      </w:tr>
      <w:tr w:rsidR="00B70E60" w:rsidRPr="00B85868" w14:paraId="49E85034" w14:textId="77777777" w:rsidTr="00DE52F8">
        <w:trPr>
          <w:cantSplit/>
          <w:trHeight w:val="408"/>
        </w:trPr>
        <w:tc>
          <w:tcPr>
            <w:tcW w:w="1126" w:type="dxa"/>
            <w:shd w:val="clear" w:color="auto" w:fill="D9E2F3" w:themeFill="accent1" w:themeFillTint="33"/>
            <w:vAlign w:val="center"/>
          </w:tcPr>
          <w:p w14:paraId="42EFA273" w14:textId="77777777" w:rsidR="00B70E60" w:rsidRPr="00B70E60" w:rsidRDefault="00B70E60" w:rsidP="00EA6468">
            <w:pPr>
              <w:spacing w:after="0"/>
              <w:ind w:left="0" w:firstLine="0"/>
              <w:contextualSpacing/>
              <w:rPr>
                <w:rFonts w:eastAsia="MS Mincho"/>
                <w:szCs w:val="22"/>
                <w:lang w:val="en-US"/>
              </w:rPr>
            </w:pPr>
            <w:r w:rsidRPr="00B70E60">
              <w:rPr>
                <w:rFonts w:eastAsia="MS Mincho"/>
                <w:szCs w:val="22"/>
                <w:lang w:val="en-US"/>
              </w:rPr>
              <w:t>2</w:t>
            </w:r>
          </w:p>
        </w:tc>
        <w:tc>
          <w:tcPr>
            <w:tcW w:w="7088" w:type="dxa"/>
            <w:vAlign w:val="center"/>
          </w:tcPr>
          <w:p w14:paraId="7E37E9FE" w14:textId="77777777" w:rsidR="00B70E60" w:rsidRPr="004C2CBF" w:rsidRDefault="004C723D" w:rsidP="00494C85">
            <w:pPr>
              <w:pStyle w:val="TOCHeading"/>
              <w:rPr>
                <w:rFonts w:eastAsia="MS Mincho"/>
              </w:rPr>
            </w:pPr>
            <w:r>
              <w:rPr>
                <w:rFonts w:eastAsia="MS Mincho"/>
              </w:rPr>
              <w:t>Policy scope / audience</w:t>
            </w:r>
          </w:p>
        </w:tc>
        <w:tc>
          <w:tcPr>
            <w:tcW w:w="1276" w:type="dxa"/>
            <w:vAlign w:val="center"/>
          </w:tcPr>
          <w:p w14:paraId="4218BBC5" w14:textId="0FE3C1DC" w:rsidR="00B70E60" w:rsidRPr="00B70E60" w:rsidRDefault="00AC095B" w:rsidP="00EA6468">
            <w:pPr>
              <w:spacing w:after="0"/>
              <w:ind w:left="0" w:firstLine="0"/>
              <w:contextualSpacing/>
              <w:jc w:val="center"/>
              <w:rPr>
                <w:rFonts w:eastAsia="MS Mincho"/>
                <w:szCs w:val="22"/>
                <w:lang w:val="en-US"/>
              </w:rPr>
            </w:pPr>
            <w:r>
              <w:rPr>
                <w:rFonts w:eastAsia="MS Mincho"/>
                <w:szCs w:val="22"/>
                <w:lang w:val="en-US"/>
              </w:rPr>
              <w:t>2</w:t>
            </w:r>
          </w:p>
        </w:tc>
      </w:tr>
      <w:tr w:rsidR="00B70E60" w:rsidRPr="00B85868" w14:paraId="4E9F3A54" w14:textId="77777777" w:rsidTr="00DE52F8">
        <w:trPr>
          <w:cantSplit/>
          <w:trHeight w:val="414"/>
        </w:trPr>
        <w:tc>
          <w:tcPr>
            <w:tcW w:w="1126" w:type="dxa"/>
            <w:shd w:val="clear" w:color="auto" w:fill="D9E2F3" w:themeFill="accent1" w:themeFillTint="33"/>
            <w:vAlign w:val="center"/>
          </w:tcPr>
          <w:p w14:paraId="7059BA59" w14:textId="77777777" w:rsidR="00B70E60" w:rsidRPr="00B70E60" w:rsidRDefault="00B70E60" w:rsidP="00EA6468">
            <w:pPr>
              <w:spacing w:after="0"/>
              <w:ind w:left="0" w:firstLine="0"/>
              <w:contextualSpacing/>
              <w:rPr>
                <w:rFonts w:eastAsia="MS Mincho"/>
                <w:szCs w:val="22"/>
                <w:lang w:val="en-US"/>
              </w:rPr>
            </w:pPr>
            <w:r w:rsidRPr="00B70E60">
              <w:rPr>
                <w:rFonts w:eastAsia="MS Mincho"/>
                <w:szCs w:val="22"/>
                <w:lang w:val="en-US"/>
              </w:rPr>
              <w:t>3</w:t>
            </w:r>
          </w:p>
        </w:tc>
        <w:tc>
          <w:tcPr>
            <w:tcW w:w="7088" w:type="dxa"/>
            <w:vAlign w:val="center"/>
          </w:tcPr>
          <w:p w14:paraId="3D4ED1E8" w14:textId="77777777" w:rsidR="00B70E60" w:rsidRPr="004C2CBF" w:rsidRDefault="004C723D" w:rsidP="004C2CBF">
            <w:pPr>
              <w:pStyle w:val="Heading1"/>
              <w:rPr>
                <w:rFonts w:eastAsiaTheme="minorEastAsia"/>
              </w:rPr>
            </w:pPr>
            <w:r>
              <w:rPr>
                <w:rFonts w:eastAsiaTheme="minorEastAsia"/>
              </w:rPr>
              <w:t>Policy details</w:t>
            </w:r>
          </w:p>
        </w:tc>
        <w:tc>
          <w:tcPr>
            <w:tcW w:w="1276" w:type="dxa"/>
            <w:vAlign w:val="center"/>
          </w:tcPr>
          <w:p w14:paraId="13D78893" w14:textId="75EE38DF" w:rsidR="00B70E60" w:rsidRPr="00B70E60" w:rsidRDefault="00AC095B" w:rsidP="00EA6468">
            <w:pPr>
              <w:spacing w:after="0"/>
              <w:ind w:left="0" w:firstLine="0"/>
              <w:contextualSpacing/>
              <w:jc w:val="center"/>
              <w:rPr>
                <w:rFonts w:eastAsia="MS Mincho"/>
                <w:szCs w:val="22"/>
                <w:lang w:val="en-US"/>
              </w:rPr>
            </w:pPr>
            <w:r>
              <w:rPr>
                <w:rFonts w:eastAsia="MS Mincho"/>
                <w:szCs w:val="22"/>
                <w:lang w:val="en-US"/>
              </w:rPr>
              <w:t>2</w:t>
            </w:r>
          </w:p>
        </w:tc>
      </w:tr>
      <w:tr w:rsidR="00B70E60" w:rsidRPr="00B85868" w14:paraId="568FA1E2" w14:textId="77777777" w:rsidTr="00DE52F8">
        <w:trPr>
          <w:cantSplit/>
          <w:trHeight w:val="406"/>
        </w:trPr>
        <w:tc>
          <w:tcPr>
            <w:tcW w:w="1126" w:type="dxa"/>
            <w:shd w:val="clear" w:color="auto" w:fill="D9E2F3" w:themeFill="accent1" w:themeFillTint="33"/>
            <w:vAlign w:val="center"/>
          </w:tcPr>
          <w:p w14:paraId="4D8D9AEE" w14:textId="77777777" w:rsidR="00B70E60" w:rsidRPr="00B70E60" w:rsidRDefault="00B70E60" w:rsidP="00EA6468">
            <w:pPr>
              <w:spacing w:after="0"/>
              <w:ind w:left="0" w:firstLine="0"/>
              <w:contextualSpacing/>
              <w:rPr>
                <w:rFonts w:eastAsia="MS Mincho"/>
                <w:szCs w:val="22"/>
                <w:lang w:val="en-US"/>
              </w:rPr>
            </w:pPr>
            <w:r w:rsidRPr="00B70E60">
              <w:rPr>
                <w:rFonts w:eastAsia="MS Mincho"/>
                <w:szCs w:val="22"/>
                <w:lang w:val="en-US"/>
              </w:rPr>
              <w:t>4</w:t>
            </w:r>
          </w:p>
        </w:tc>
        <w:tc>
          <w:tcPr>
            <w:tcW w:w="7088" w:type="dxa"/>
            <w:vAlign w:val="center"/>
          </w:tcPr>
          <w:p w14:paraId="4C7D8450" w14:textId="77777777" w:rsidR="00B70E60" w:rsidRPr="004C2CBF" w:rsidRDefault="004C723D" w:rsidP="004C2CBF">
            <w:pPr>
              <w:pStyle w:val="Heading1"/>
              <w:rPr>
                <w:rFonts w:eastAsiaTheme="minorEastAsia"/>
              </w:rPr>
            </w:pPr>
            <w:r>
              <w:rPr>
                <w:rFonts w:eastAsiaTheme="minorEastAsia"/>
              </w:rPr>
              <w:t>Policy definitions used</w:t>
            </w:r>
          </w:p>
        </w:tc>
        <w:tc>
          <w:tcPr>
            <w:tcW w:w="1276" w:type="dxa"/>
            <w:vAlign w:val="center"/>
          </w:tcPr>
          <w:p w14:paraId="0649C177" w14:textId="5155806B" w:rsidR="00B70E60" w:rsidRPr="00B70E60" w:rsidRDefault="00AC095B" w:rsidP="00EA6468">
            <w:pPr>
              <w:spacing w:after="0"/>
              <w:ind w:left="0" w:firstLine="0"/>
              <w:contextualSpacing/>
              <w:jc w:val="center"/>
              <w:rPr>
                <w:rFonts w:eastAsia="MS Mincho"/>
                <w:szCs w:val="22"/>
                <w:lang w:val="en-US"/>
              </w:rPr>
            </w:pPr>
            <w:r>
              <w:rPr>
                <w:rFonts w:eastAsia="MS Mincho"/>
                <w:szCs w:val="22"/>
                <w:lang w:val="en-US"/>
              </w:rPr>
              <w:t>6</w:t>
            </w:r>
          </w:p>
        </w:tc>
      </w:tr>
      <w:tr w:rsidR="00B70E60" w:rsidRPr="00B85868" w14:paraId="4E5B82A6" w14:textId="77777777" w:rsidTr="00DE52F8">
        <w:trPr>
          <w:cantSplit/>
          <w:trHeight w:val="411"/>
        </w:trPr>
        <w:tc>
          <w:tcPr>
            <w:tcW w:w="1126" w:type="dxa"/>
            <w:shd w:val="clear" w:color="auto" w:fill="D9E2F3" w:themeFill="accent1" w:themeFillTint="33"/>
            <w:vAlign w:val="center"/>
          </w:tcPr>
          <w:p w14:paraId="5F424905" w14:textId="77777777" w:rsidR="00B70E60" w:rsidRPr="00B70E60" w:rsidRDefault="00B70E60" w:rsidP="00EA6468">
            <w:pPr>
              <w:spacing w:after="0"/>
              <w:ind w:left="0" w:firstLine="0"/>
              <w:contextualSpacing/>
              <w:rPr>
                <w:rFonts w:eastAsia="MS Mincho"/>
                <w:szCs w:val="22"/>
                <w:lang w:val="en-US"/>
              </w:rPr>
            </w:pPr>
            <w:r w:rsidRPr="00B70E60">
              <w:rPr>
                <w:rFonts w:eastAsia="MS Mincho"/>
                <w:szCs w:val="22"/>
                <w:lang w:val="en-US"/>
              </w:rPr>
              <w:t>5</w:t>
            </w:r>
          </w:p>
        </w:tc>
        <w:tc>
          <w:tcPr>
            <w:tcW w:w="7088" w:type="dxa"/>
            <w:vAlign w:val="center"/>
          </w:tcPr>
          <w:p w14:paraId="0CF83091" w14:textId="77777777" w:rsidR="00B70E60" w:rsidRPr="004C2CBF" w:rsidRDefault="004C723D" w:rsidP="004C2CBF">
            <w:pPr>
              <w:pStyle w:val="Heading1"/>
              <w:rPr>
                <w:rFonts w:eastAsiaTheme="minorEastAsia"/>
              </w:rPr>
            </w:pPr>
            <w:r>
              <w:rPr>
                <w:rFonts w:eastAsiaTheme="minorEastAsia"/>
              </w:rPr>
              <w:t>References (internal and external)</w:t>
            </w:r>
          </w:p>
        </w:tc>
        <w:tc>
          <w:tcPr>
            <w:tcW w:w="1276" w:type="dxa"/>
            <w:vAlign w:val="center"/>
          </w:tcPr>
          <w:p w14:paraId="286BE5CC" w14:textId="20C6AE13" w:rsidR="00B70E60" w:rsidRPr="00B70E60" w:rsidRDefault="00AC095B" w:rsidP="00EA6468">
            <w:pPr>
              <w:spacing w:after="0"/>
              <w:ind w:left="0" w:firstLine="0"/>
              <w:contextualSpacing/>
              <w:jc w:val="center"/>
              <w:rPr>
                <w:rFonts w:eastAsia="MS Mincho"/>
                <w:szCs w:val="22"/>
                <w:lang w:val="en-US"/>
              </w:rPr>
            </w:pPr>
            <w:r>
              <w:rPr>
                <w:rFonts w:eastAsia="MS Mincho"/>
                <w:szCs w:val="22"/>
                <w:lang w:val="en-US"/>
              </w:rPr>
              <w:t>7</w:t>
            </w:r>
          </w:p>
        </w:tc>
      </w:tr>
    </w:tbl>
    <w:p w14:paraId="27AFF558" w14:textId="77777777" w:rsidR="00494C85" w:rsidRDefault="00494C85" w:rsidP="00727E2D">
      <w:pPr>
        <w:ind w:left="0" w:firstLine="0"/>
      </w:pPr>
    </w:p>
    <w:p w14:paraId="2463FF0C" w14:textId="77777777" w:rsidR="00727E2D" w:rsidRPr="00B70E60" w:rsidRDefault="00B70E60" w:rsidP="00727E2D">
      <w:pPr>
        <w:ind w:left="0" w:firstLine="0"/>
        <w:rPr>
          <w:b/>
          <w:bCs/>
        </w:rPr>
      </w:pPr>
      <w:r>
        <w:rPr>
          <w:b/>
          <w:bCs/>
        </w:rPr>
        <w:t>Revision History</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34"/>
        <w:gridCol w:w="1701"/>
        <w:gridCol w:w="1701"/>
        <w:gridCol w:w="5073"/>
      </w:tblGrid>
      <w:tr w:rsidR="00B70E60" w14:paraId="06E4F255" w14:textId="77777777" w:rsidTr="00DE52F8">
        <w:trPr>
          <w:trHeight w:val="450"/>
        </w:trPr>
        <w:tc>
          <w:tcPr>
            <w:tcW w:w="1134" w:type="dxa"/>
            <w:shd w:val="clear" w:color="auto" w:fill="538DD3"/>
          </w:tcPr>
          <w:p w14:paraId="2B3C2D2D" w14:textId="77777777" w:rsidR="00B70E60" w:rsidRPr="00B70E60" w:rsidRDefault="00DE52F8" w:rsidP="00DE52F8">
            <w:pPr>
              <w:pStyle w:val="TableParagraph"/>
              <w:spacing w:before="120"/>
              <w:ind w:right="108"/>
              <w:contextualSpacing/>
              <w:rPr>
                <w:b/>
                <w:color w:val="FFFFFF" w:themeColor="background1"/>
              </w:rPr>
            </w:pPr>
            <w:r>
              <w:rPr>
                <w:b/>
                <w:color w:val="FFFFFF" w:themeColor="background1"/>
              </w:rPr>
              <w:t xml:space="preserve"> </w:t>
            </w:r>
            <w:r w:rsidR="00B70E60" w:rsidRPr="00B70E60">
              <w:rPr>
                <w:b/>
                <w:color w:val="FFFFFF" w:themeColor="background1"/>
              </w:rPr>
              <w:t>Version</w:t>
            </w:r>
          </w:p>
        </w:tc>
        <w:tc>
          <w:tcPr>
            <w:tcW w:w="1701" w:type="dxa"/>
            <w:shd w:val="clear" w:color="auto" w:fill="538DD3"/>
            <w:vAlign w:val="center"/>
          </w:tcPr>
          <w:p w14:paraId="3E9DEB91" w14:textId="77777777" w:rsidR="00B70E60" w:rsidRPr="00B70E60" w:rsidRDefault="00DE52F8" w:rsidP="00DE52F8">
            <w:pPr>
              <w:pStyle w:val="TableParagraph"/>
              <w:spacing w:before="120"/>
              <w:ind w:right="108"/>
              <w:contextualSpacing/>
              <w:rPr>
                <w:b/>
                <w:color w:val="FFFFFF" w:themeColor="background1"/>
              </w:rPr>
            </w:pPr>
            <w:r>
              <w:rPr>
                <w:b/>
                <w:color w:val="FFFFFF" w:themeColor="background1"/>
              </w:rPr>
              <w:t xml:space="preserve"> </w:t>
            </w:r>
            <w:r w:rsidR="00B70E60" w:rsidRPr="00B70E60">
              <w:rPr>
                <w:b/>
                <w:color w:val="FFFFFF" w:themeColor="background1"/>
              </w:rPr>
              <w:t>Type</w:t>
            </w:r>
          </w:p>
        </w:tc>
        <w:tc>
          <w:tcPr>
            <w:tcW w:w="1701" w:type="dxa"/>
            <w:shd w:val="clear" w:color="auto" w:fill="538DD3"/>
            <w:vAlign w:val="center"/>
          </w:tcPr>
          <w:p w14:paraId="4B62F9CF" w14:textId="77777777" w:rsidR="00B70E60" w:rsidRPr="00B70E60" w:rsidRDefault="00DE52F8" w:rsidP="00DE52F8">
            <w:pPr>
              <w:pStyle w:val="TableParagraph"/>
              <w:spacing w:before="120"/>
              <w:ind w:right="108"/>
              <w:contextualSpacing/>
              <w:rPr>
                <w:b/>
                <w:color w:val="FFFFFF" w:themeColor="background1"/>
              </w:rPr>
            </w:pPr>
            <w:r>
              <w:rPr>
                <w:b/>
                <w:color w:val="FFFFFF" w:themeColor="background1"/>
              </w:rPr>
              <w:t xml:space="preserve"> </w:t>
            </w:r>
            <w:r w:rsidR="00B70E60" w:rsidRPr="00B70E60">
              <w:rPr>
                <w:b/>
                <w:color w:val="FFFFFF" w:themeColor="background1"/>
              </w:rPr>
              <w:t>Date</w:t>
            </w:r>
          </w:p>
        </w:tc>
        <w:tc>
          <w:tcPr>
            <w:tcW w:w="5073" w:type="dxa"/>
            <w:shd w:val="clear" w:color="auto" w:fill="538DD3"/>
            <w:vAlign w:val="center"/>
          </w:tcPr>
          <w:p w14:paraId="2F1655C3" w14:textId="77777777" w:rsidR="00B70E60" w:rsidRPr="00B70E60" w:rsidRDefault="00DE52F8" w:rsidP="00DE52F8">
            <w:pPr>
              <w:pStyle w:val="TableParagraph"/>
              <w:spacing w:before="120"/>
              <w:ind w:right="108"/>
              <w:contextualSpacing/>
              <w:rPr>
                <w:b/>
                <w:color w:val="FFFFFF" w:themeColor="background1"/>
              </w:rPr>
            </w:pPr>
            <w:r>
              <w:rPr>
                <w:b/>
                <w:color w:val="FFFFFF" w:themeColor="background1"/>
              </w:rPr>
              <w:t xml:space="preserve"> </w:t>
            </w:r>
            <w:r w:rsidR="00B70E60" w:rsidRPr="00B70E60">
              <w:rPr>
                <w:b/>
                <w:color w:val="FFFFFF" w:themeColor="background1"/>
              </w:rPr>
              <w:t>Notes</w:t>
            </w:r>
          </w:p>
        </w:tc>
      </w:tr>
      <w:tr w:rsidR="00B70E60" w14:paraId="1958A0C7" w14:textId="77777777" w:rsidTr="00DE52F8">
        <w:trPr>
          <w:trHeight w:val="446"/>
        </w:trPr>
        <w:tc>
          <w:tcPr>
            <w:tcW w:w="1134" w:type="dxa"/>
            <w:shd w:val="clear" w:color="auto" w:fill="D9E2F3" w:themeFill="accent1" w:themeFillTint="33"/>
            <w:vAlign w:val="center"/>
          </w:tcPr>
          <w:p w14:paraId="18316E37" w14:textId="77777777" w:rsidR="00B70E60" w:rsidRPr="0029148D" w:rsidRDefault="00DE52F8" w:rsidP="00EA6468">
            <w:pPr>
              <w:contextualSpacing/>
            </w:pPr>
            <w:r>
              <w:t xml:space="preserve"> </w:t>
            </w:r>
            <w:r w:rsidR="00441841">
              <w:t>1</w:t>
            </w:r>
          </w:p>
        </w:tc>
        <w:tc>
          <w:tcPr>
            <w:tcW w:w="1701" w:type="dxa"/>
            <w:vAlign w:val="center"/>
          </w:tcPr>
          <w:p w14:paraId="3B5DE476" w14:textId="6F7838BE" w:rsidR="00B70E60" w:rsidRPr="0029148D" w:rsidRDefault="00FC4D36" w:rsidP="00DE52F8">
            <w:pPr>
              <w:contextualSpacing/>
            </w:pPr>
            <w:r>
              <w:t>Archived</w:t>
            </w:r>
          </w:p>
        </w:tc>
        <w:tc>
          <w:tcPr>
            <w:tcW w:w="1701" w:type="dxa"/>
            <w:vAlign w:val="center"/>
          </w:tcPr>
          <w:p w14:paraId="1C124A5A" w14:textId="794DAF4F" w:rsidR="00B70E60" w:rsidRPr="0029148D" w:rsidRDefault="00AC095B" w:rsidP="00DE52F8">
            <w:pPr>
              <w:contextualSpacing/>
            </w:pPr>
            <w:r>
              <w:t>May 2017</w:t>
            </w:r>
          </w:p>
        </w:tc>
        <w:tc>
          <w:tcPr>
            <w:tcW w:w="5073" w:type="dxa"/>
            <w:vAlign w:val="center"/>
          </w:tcPr>
          <w:p w14:paraId="04BB1D1D" w14:textId="6726C4E2" w:rsidR="00B70E60" w:rsidRPr="0029148D" w:rsidRDefault="00AC095B" w:rsidP="00DE52F8">
            <w:pPr>
              <w:contextualSpacing/>
            </w:pPr>
            <w:r>
              <w:t>Archived</w:t>
            </w:r>
          </w:p>
        </w:tc>
      </w:tr>
      <w:tr w:rsidR="00B70E60" w14:paraId="301CD8BF" w14:textId="77777777" w:rsidTr="00DE52F8">
        <w:trPr>
          <w:trHeight w:val="526"/>
        </w:trPr>
        <w:tc>
          <w:tcPr>
            <w:tcW w:w="1134" w:type="dxa"/>
            <w:shd w:val="clear" w:color="auto" w:fill="D9E2F3" w:themeFill="accent1" w:themeFillTint="33"/>
            <w:vAlign w:val="center"/>
          </w:tcPr>
          <w:p w14:paraId="781CB174" w14:textId="77777777" w:rsidR="00B70E60" w:rsidRPr="0029148D" w:rsidRDefault="00DE52F8" w:rsidP="00EA6468">
            <w:pPr>
              <w:contextualSpacing/>
            </w:pPr>
            <w:r>
              <w:t xml:space="preserve"> </w:t>
            </w:r>
            <w:r w:rsidR="00441841">
              <w:t>2</w:t>
            </w:r>
          </w:p>
        </w:tc>
        <w:tc>
          <w:tcPr>
            <w:tcW w:w="1701" w:type="dxa"/>
            <w:vAlign w:val="center"/>
          </w:tcPr>
          <w:p w14:paraId="7FD0B40F" w14:textId="389CD5FB" w:rsidR="00B70E60" w:rsidRPr="0029148D" w:rsidRDefault="00AC095B" w:rsidP="00DE52F8">
            <w:pPr>
              <w:contextualSpacing/>
            </w:pPr>
            <w:r>
              <w:t>New</w:t>
            </w:r>
          </w:p>
        </w:tc>
        <w:tc>
          <w:tcPr>
            <w:tcW w:w="1701" w:type="dxa"/>
            <w:vAlign w:val="center"/>
          </w:tcPr>
          <w:p w14:paraId="0498ACA6" w14:textId="44B0A174" w:rsidR="00B70E60" w:rsidRPr="0029148D" w:rsidRDefault="00AC095B" w:rsidP="00DE52F8">
            <w:pPr>
              <w:contextualSpacing/>
            </w:pPr>
            <w:r>
              <w:t>June 2018</w:t>
            </w:r>
          </w:p>
        </w:tc>
        <w:tc>
          <w:tcPr>
            <w:tcW w:w="5073" w:type="dxa"/>
            <w:vAlign w:val="center"/>
          </w:tcPr>
          <w:p w14:paraId="7023FFE5" w14:textId="6C1425C7" w:rsidR="00B70E60" w:rsidRPr="0029148D" w:rsidRDefault="00AC095B" w:rsidP="00DE52F8">
            <w:pPr>
              <w:contextualSpacing/>
            </w:pPr>
            <w:r>
              <w:t>GDPR Compliant</w:t>
            </w:r>
          </w:p>
        </w:tc>
      </w:tr>
      <w:tr w:rsidR="00B70E60" w14:paraId="1F25A0C6" w14:textId="77777777" w:rsidTr="00DE52F8">
        <w:trPr>
          <w:trHeight w:val="548"/>
        </w:trPr>
        <w:tc>
          <w:tcPr>
            <w:tcW w:w="1134" w:type="dxa"/>
            <w:shd w:val="clear" w:color="auto" w:fill="D9E2F3" w:themeFill="accent1" w:themeFillTint="33"/>
            <w:vAlign w:val="center"/>
          </w:tcPr>
          <w:p w14:paraId="5DB3E83C" w14:textId="77777777" w:rsidR="00B70E60" w:rsidRPr="0029148D" w:rsidRDefault="00DE52F8" w:rsidP="00EA6468">
            <w:pPr>
              <w:contextualSpacing/>
            </w:pPr>
            <w:r>
              <w:t xml:space="preserve"> </w:t>
            </w:r>
            <w:r w:rsidR="00441841">
              <w:t>3</w:t>
            </w:r>
          </w:p>
        </w:tc>
        <w:tc>
          <w:tcPr>
            <w:tcW w:w="1701" w:type="dxa"/>
            <w:vAlign w:val="center"/>
          </w:tcPr>
          <w:p w14:paraId="59E11F43" w14:textId="1DC35DBC" w:rsidR="00B70E60" w:rsidRPr="0029148D" w:rsidRDefault="00AC095B" w:rsidP="00DE52F8">
            <w:pPr>
              <w:contextualSpacing/>
            </w:pPr>
            <w:r>
              <w:t>Updated</w:t>
            </w:r>
          </w:p>
        </w:tc>
        <w:tc>
          <w:tcPr>
            <w:tcW w:w="1701" w:type="dxa"/>
            <w:vAlign w:val="center"/>
          </w:tcPr>
          <w:p w14:paraId="2C792289" w14:textId="4C649D63" w:rsidR="00B70E60" w:rsidRPr="0029148D" w:rsidRDefault="00AC095B" w:rsidP="00DE52F8">
            <w:pPr>
              <w:contextualSpacing/>
            </w:pPr>
            <w:r>
              <w:t>June 2022</w:t>
            </w:r>
          </w:p>
        </w:tc>
        <w:tc>
          <w:tcPr>
            <w:tcW w:w="5073" w:type="dxa"/>
            <w:vAlign w:val="center"/>
          </w:tcPr>
          <w:p w14:paraId="3E2EA967" w14:textId="701DD10C" w:rsidR="00B70E60" w:rsidRPr="0029148D" w:rsidRDefault="00AC095B" w:rsidP="00DE52F8">
            <w:pPr>
              <w:contextualSpacing/>
            </w:pPr>
            <w:r>
              <w:t>Contacts and layout updated.</w:t>
            </w:r>
          </w:p>
        </w:tc>
      </w:tr>
      <w:tr w:rsidR="00B70E60" w14:paraId="2BE38129" w14:textId="77777777" w:rsidTr="00DE52F8">
        <w:trPr>
          <w:trHeight w:val="556"/>
        </w:trPr>
        <w:tc>
          <w:tcPr>
            <w:tcW w:w="1134" w:type="dxa"/>
            <w:shd w:val="clear" w:color="auto" w:fill="D9E2F3" w:themeFill="accent1" w:themeFillTint="33"/>
            <w:vAlign w:val="center"/>
          </w:tcPr>
          <w:p w14:paraId="019582EE" w14:textId="77777777" w:rsidR="00B70E60" w:rsidRPr="0029148D" w:rsidRDefault="00DE52F8" w:rsidP="00EA6468">
            <w:pPr>
              <w:contextualSpacing/>
            </w:pPr>
            <w:r>
              <w:t xml:space="preserve"> </w:t>
            </w:r>
            <w:r w:rsidR="00441841">
              <w:t>4</w:t>
            </w:r>
          </w:p>
        </w:tc>
        <w:tc>
          <w:tcPr>
            <w:tcW w:w="1701" w:type="dxa"/>
            <w:vAlign w:val="center"/>
          </w:tcPr>
          <w:p w14:paraId="5FCCA460" w14:textId="6DAF38A7" w:rsidR="00B70E60" w:rsidRPr="0029148D" w:rsidRDefault="00FC4D36" w:rsidP="00DE52F8">
            <w:pPr>
              <w:contextualSpacing/>
            </w:pPr>
            <w:r>
              <w:t>Reviewed</w:t>
            </w:r>
          </w:p>
        </w:tc>
        <w:tc>
          <w:tcPr>
            <w:tcW w:w="1701" w:type="dxa"/>
            <w:vAlign w:val="center"/>
          </w:tcPr>
          <w:p w14:paraId="48CACE64" w14:textId="71D3825D" w:rsidR="00B70E60" w:rsidRPr="0029148D" w:rsidRDefault="00FC4D36" w:rsidP="00DE52F8">
            <w:pPr>
              <w:contextualSpacing/>
            </w:pPr>
            <w:r>
              <w:t>Jan 2024</w:t>
            </w:r>
          </w:p>
        </w:tc>
        <w:tc>
          <w:tcPr>
            <w:tcW w:w="5073" w:type="dxa"/>
            <w:vAlign w:val="center"/>
          </w:tcPr>
          <w:p w14:paraId="275CBDA1" w14:textId="57BD885A" w:rsidR="00B70E60" w:rsidRPr="0029148D" w:rsidRDefault="00FC4D36" w:rsidP="00DE52F8">
            <w:pPr>
              <w:contextualSpacing/>
            </w:pPr>
            <w:r>
              <w:t>Reviewed – no changes</w:t>
            </w:r>
          </w:p>
        </w:tc>
      </w:tr>
      <w:tr w:rsidR="00B70E60" w14:paraId="0BFCAC70" w14:textId="77777777" w:rsidTr="00DE52F8">
        <w:trPr>
          <w:trHeight w:val="550"/>
        </w:trPr>
        <w:tc>
          <w:tcPr>
            <w:tcW w:w="1134" w:type="dxa"/>
            <w:shd w:val="clear" w:color="auto" w:fill="D9E2F3" w:themeFill="accent1" w:themeFillTint="33"/>
            <w:vAlign w:val="center"/>
          </w:tcPr>
          <w:p w14:paraId="51DEDA29" w14:textId="77777777" w:rsidR="00B70E60" w:rsidRPr="0029148D" w:rsidRDefault="00DE52F8" w:rsidP="00EA6468">
            <w:pPr>
              <w:contextualSpacing/>
            </w:pPr>
            <w:r>
              <w:t xml:space="preserve"> </w:t>
            </w:r>
            <w:r w:rsidR="00441841">
              <w:t>5</w:t>
            </w:r>
          </w:p>
        </w:tc>
        <w:tc>
          <w:tcPr>
            <w:tcW w:w="1701" w:type="dxa"/>
            <w:vAlign w:val="center"/>
          </w:tcPr>
          <w:p w14:paraId="6D642FAF" w14:textId="2FE7865B" w:rsidR="00B70E60" w:rsidRPr="0029148D" w:rsidRDefault="003076A8" w:rsidP="00DE52F8">
            <w:pPr>
              <w:contextualSpacing/>
            </w:pPr>
            <w:r>
              <w:t>Review</w:t>
            </w:r>
            <w:r w:rsidR="00AF33DF">
              <w:t>ed</w:t>
            </w:r>
          </w:p>
        </w:tc>
        <w:tc>
          <w:tcPr>
            <w:tcW w:w="1701" w:type="dxa"/>
            <w:vAlign w:val="center"/>
          </w:tcPr>
          <w:p w14:paraId="37862FC8" w14:textId="217F8C56" w:rsidR="00B70E60" w:rsidRPr="0029148D" w:rsidRDefault="003076A8" w:rsidP="00DE52F8">
            <w:pPr>
              <w:contextualSpacing/>
            </w:pPr>
            <w:r>
              <w:t>Jan 2025</w:t>
            </w:r>
          </w:p>
        </w:tc>
        <w:tc>
          <w:tcPr>
            <w:tcW w:w="5073" w:type="dxa"/>
            <w:vAlign w:val="center"/>
          </w:tcPr>
          <w:p w14:paraId="31E3D204" w14:textId="77DD7C23" w:rsidR="00B70E60" w:rsidRPr="0029148D" w:rsidRDefault="003076A8" w:rsidP="00DE52F8">
            <w:pPr>
              <w:contextualSpacing/>
            </w:pPr>
            <w:r>
              <w:t>Reviewed – no changes</w:t>
            </w:r>
          </w:p>
        </w:tc>
      </w:tr>
      <w:tr w:rsidR="00AF33DF" w14:paraId="0E646C0A" w14:textId="77777777" w:rsidTr="00DE52F8">
        <w:trPr>
          <w:trHeight w:val="550"/>
        </w:trPr>
        <w:tc>
          <w:tcPr>
            <w:tcW w:w="1134" w:type="dxa"/>
            <w:shd w:val="clear" w:color="auto" w:fill="D9E2F3" w:themeFill="accent1" w:themeFillTint="33"/>
            <w:vAlign w:val="center"/>
          </w:tcPr>
          <w:p w14:paraId="0B23FA66" w14:textId="3D917B9F" w:rsidR="00AF33DF" w:rsidRDefault="00AF33DF" w:rsidP="00EA6468">
            <w:pPr>
              <w:contextualSpacing/>
            </w:pPr>
            <w:r>
              <w:t>6</w:t>
            </w:r>
          </w:p>
        </w:tc>
        <w:tc>
          <w:tcPr>
            <w:tcW w:w="1701" w:type="dxa"/>
            <w:vAlign w:val="center"/>
          </w:tcPr>
          <w:p w14:paraId="7E49D160" w14:textId="7C29AD1A" w:rsidR="00AF33DF" w:rsidRDefault="00AF33DF" w:rsidP="00DE52F8">
            <w:pPr>
              <w:contextualSpacing/>
            </w:pPr>
            <w:r>
              <w:t>Reviewed</w:t>
            </w:r>
          </w:p>
        </w:tc>
        <w:tc>
          <w:tcPr>
            <w:tcW w:w="1701" w:type="dxa"/>
            <w:vAlign w:val="center"/>
          </w:tcPr>
          <w:p w14:paraId="70F24429" w14:textId="027FECE7" w:rsidR="00AF33DF" w:rsidRDefault="00AF33DF" w:rsidP="00DE52F8">
            <w:pPr>
              <w:contextualSpacing/>
            </w:pPr>
            <w:r>
              <w:t>Jan 2026</w:t>
            </w:r>
          </w:p>
        </w:tc>
        <w:tc>
          <w:tcPr>
            <w:tcW w:w="5073" w:type="dxa"/>
            <w:vAlign w:val="center"/>
          </w:tcPr>
          <w:p w14:paraId="192DD581" w14:textId="163F93CE" w:rsidR="00AF33DF" w:rsidRDefault="00AF33DF" w:rsidP="00DE52F8">
            <w:pPr>
              <w:contextualSpacing/>
            </w:pPr>
            <w:r>
              <w:t>Minor wording changes, not significant.</w:t>
            </w:r>
          </w:p>
        </w:tc>
      </w:tr>
    </w:tbl>
    <w:p w14:paraId="776FF503" w14:textId="77777777" w:rsidR="00494C85" w:rsidRDefault="00494C85" w:rsidP="00727E2D">
      <w:pPr>
        <w:ind w:left="0" w:firstLine="0"/>
      </w:pPr>
    </w:p>
    <w:p w14:paraId="1D177A5D" w14:textId="77777777" w:rsidR="00494C85" w:rsidRDefault="00494C85">
      <w:pPr>
        <w:spacing w:after="0"/>
        <w:ind w:left="0" w:firstLine="0"/>
      </w:pPr>
      <w:r>
        <w:br w:type="page"/>
      </w:r>
    </w:p>
    <w:p w14:paraId="28BE0872" w14:textId="77777777" w:rsidR="00494C85" w:rsidRDefault="00494C85" w:rsidP="00494C85">
      <w:pPr>
        <w:pStyle w:val="Heading1"/>
      </w:pPr>
      <w:bookmarkStart w:id="2" w:name="_Toc94964341"/>
      <w:bookmarkStart w:id="3" w:name="_Toc94964604"/>
      <w:r>
        <w:lastRenderedPageBreak/>
        <w:t xml:space="preserve">Policy </w:t>
      </w:r>
      <w:r w:rsidR="004C723D">
        <w:t>s</w:t>
      </w:r>
      <w:r>
        <w:t>tatement</w:t>
      </w:r>
      <w:bookmarkEnd w:id="2"/>
      <w:bookmarkEnd w:id="3"/>
    </w:p>
    <w:p w14:paraId="1D56BBE8" w14:textId="77777777" w:rsidR="00494C85" w:rsidRDefault="00494C85">
      <w:pPr>
        <w:spacing w:after="0"/>
        <w:ind w:left="0" w:firstLine="0"/>
      </w:pPr>
    </w:p>
    <w:p w14:paraId="394136C7" w14:textId="3ACEE61B" w:rsidR="00434A38" w:rsidRDefault="00434A38" w:rsidP="004B4B06">
      <w:pPr>
        <w:keepNext/>
        <w:tabs>
          <w:tab w:val="left" w:pos="0"/>
        </w:tabs>
        <w:ind w:left="0" w:firstLine="0"/>
      </w:pPr>
      <w:r>
        <w:t>The organisation is committed to being transparent about how it collects and uses the personal data of its workforce, and to meeting its data protection obligations. This policy sets out the organisation's commitment to data protection, and individual rights and obligations in relation to personal data.</w:t>
      </w:r>
    </w:p>
    <w:p w14:paraId="7BFF8BB7" w14:textId="428EC74C" w:rsidR="00434A38" w:rsidRDefault="00434A38" w:rsidP="33524FD7">
      <w:pPr>
        <w:keepNext/>
        <w:ind w:left="0" w:firstLine="0"/>
      </w:pPr>
      <w:r>
        <w:t>The organisation has appointed the Data Protection Officer to is the key contact for all matters relating to GDPR and this policy</w:t>
      </w:r>
      <w:r w:rsidR="2D1684DD">
        <w:t xml:space="preserve">. </w:t>
      </w:r>
      <w:r>
        <w:t>The Compliance and Funding Lead should be contacted in the first instance in all situations.</w:t>
      </w:r>
    </w:p>
    <w:p w14:paraId="200891D2" w14:textId="77777777" w:rsidR="004C723D" w:rsidRDefault="004C723D">
      <w:pPr>
        <w:spacing w:after="0"/>
        <w:ind w:left="0" w:firstLine="0"/>
      </w:pPr>
    </w:p>
    <w:p w14:paraId="03CEDDDD" w14:textId="77777777" w:rsidR="00494C85" w:rsidRDefault="004C723D" w:rsidP="00494C85">
      <w:pPr>
        <w:pStyle w:val="Heading1"/>
      </w:pPr>
      <w:bookmarkStart w:id="4" w:name="_Toc94964342"/>
      <w:bookmarkStart w:id="5" w:name="_Toc94964605"/>
      <w:r>
        <w:rPr>
          <w:rStyle w:val="Strong"/>
          <w:b/>
          <w:bCs w:val="0"/>
        </w:rPr>
        <w:t>P</w:t>
      </w:r>
      <w:r w:rsidR="00494C85" w:rsidRPr="004C2CBF">
        <w:rPr>
          <w:rStyle w:val="Strong"/>
          <w:b/>
          <w:bCs w:val="0"/>
        </w:rPr>
        <w:t>olicy</w:t>
      </w:r>
      <w:bookmarkEnd w:id="4"/>
      <w:bookmarkEnd w:id="5"/>
      <w:r>
        <w:rPr>
          <w:rStyle w:val="Strong"/>
          <w:b/>
          <w:bCs w:val="0"/>
        </w:rPr>
        <w:t xml:space="preserve"> scope</w:t>
      </w:r>
      <w:r w:rsidR="00494C85">
        <w:t xml:space="preserve"> </w:t>
      </w:r>
    </w:p>
    <w:p w14:paraId="32222015" w14:textId="77777777" w:rsidR="00494C85" w:rsidRDefault="00494C85">
      <w:pPr>
        <w:spacing w:after="0"/>
        <w:ind w:left="0" w:firstLine="0"/>
      </w:pPr>
    </w:p>
    <w:p w14:paraId="66415377" w14:textId="07DCDFD9" w:rsidR="00434A38" w:rsidRDefault="00434A38" w:rsidP="33524FD7">
      <w:pPr>
        <w:keepNext/>
        <w:ind w:left="0" w:firstLine="0"/>
      </w:pPr>
      <w:r>
        <w:t xml:space="preserve">This policy applies to the personal data of </w:t>
      </w:r>
      <w:r w:rsidRPr="33524FD7">
        <w:rPr>
          <w:b/>
          <w:bCs/>
        </w:rPr>
        <w:t>employment HR data</w:t>
      </w:r>
      <w:r>
        <w:t xml:space="preserve"> (applicants, employees (live and former), contracts,</w:t>
      </w:r>
      <w:r w:rsidR="00804527">
        <w:t xml:space="preserve"> </w:t>
      </w:r>
      <w:r w:rsidR="0081683E">
        <w:t>and all data considered HR related personal data)</w:t>
      </w:r>
      <w:r w:rsidR="08D24405">
        <w:t xml:space="preserve">. </w:t>
      </w:r>
      <w:r w:rsidR="0081683E">
        <w:t xml:space="preserve">It applies to our </w:t>
      </w:r>
      <w:r w:rsidR="383EF0E3" w:rsidRPr="33524FD7">
        <w:rPr>
          <w:b/>
          <w:bCs/>
        </w:rPr>
        <w:t>client's</w:t>
      </w:r>
      <w:r w:rsidR="0081683E" w:rsidRPr="33524FD7">
        <w:rPr>
          <w:b/>
          <w:bCs/>
        </w:rPr>
        <w:t xml:space="preserve"> personal data</w:t>
      </w:r>
      <w:r w:rsidR="0081683E">
        <w:t xml:space="preserve"> (learners, delegates, apprentices)</w:t>
      </w:r>
      <w:r w:rsidR="622A2235">
        <w:t xml:space="preserve">. </w:t>
      </w:r>
      <w:r w:rsidR="0081683E">
        <w:t xml:space="preserve">It applies to the documented </w:t>
      </w:r>
      <w:r w:rsidR="0081683E" w:rsidRPr="33524FD7">
        <w:rPr>
          <w:b/>
          <w:bCs/>
        </w:rPr>
        <w:t>contacts provided by the client</w:t>
      </w:r>
      <w:r w:rsidR="0081683E">
        <w:t xml:space="preserve"> (employers, emergency contacts)</w:t>
      </w:r>
      <w:r w:rsidR="4A67809E">
        <w:t xml:space="preserve">. </w:t>
      </w:r>
      <w:r w:rsidR="0081683E">
        <w:t xml:space="preserve">It applies to all government funded provision that we deliver, and the agencies we procure to </w:t>
      </w:r>
      <w:r w:rsidR="3AD8981E">
        <w:t>accredit,</w:t>
      </w:r>
      <w:r w:rsidR="0081683E">
        <w:t xml:space="preserve"> or quality assure our work.</w:t>
      </w:r>
    </w:p>
    <w:p w14:paraId="523CA785" w14:textId="111F96DB" w:rsidR="0081683E" w:rsidRDefault="0081683E" w:rsidP="0081683E">
      <w:pPr>
        <w:spacing w:after="0"/>
        <w:ind w:left="0" w:firstLine="0"/>
      </w:pPr>
      <w:r>
        <w:t>We observe the lawful basis for processing data and ensure that all data collected is done so in these categories alone</w:t>
      </w:r>
      <w:r w:rsidR="706FEBDF">
        <w:t xml:space="preserve">. </w:t>
      </w:r>
      <w:r>
        <w:t xml:space="preserve">Where we do not have such reason to hold the </w:t>
      </w:r>
      <w:r w:rsidR="11AA2475">
        <w:t>data,</w:t>
      </w:r>
      <w:r>
        <w:t xml:space="preserve"> we will ensure it is not collated at source.</w:t>
      </w:r>
    </w:p>
    <w:p w14:paraId="3C61E538" w14:textId="77777777" w:rsidR="00494C85" w:rsidRDefault="00494C85">
      <w:pPr>
        <w:spacing w:after="0"/>
        <w:ind w:left="0" w:firstLine="0"/>
      </w:pPr>
    </w:p>
    <w:p w14:paraId="12A357CF" w14:textId="77777777" w:rsidR="00494C85" w:rsidRDefault="00494C85" w:rsidP="00494C85">
      <w:pPr>
        <w:pStyle w:val="Heading1"/>
      </w:pPr>
      <w:bookmarkStart w:id="6" w:name="_Toc94964343"/>
      <w:bookmarkStart w:id="7" w:name="_Toc94964606"/>
      <w:r>
        <w:t xml:space="preserve">Policy </w:t>
      </w:r>
      <w:bookmarkEnd w:id="6"/>
      <w:bookmarkEnd w:id="7"/>
      <w:r w:rsidR="004C723D">
        <w:t>details</w:t>
      </w:r>
    </w:p>
    <w:p w14:paraId="1F6C5819" w14:textId="77777777" w:rsidR="00494C85" w:rsidRDefault="00494C85">
      <w:pPr>
        <w:spacing w:after="0"/>
        <w:ind w:left="0" w:firstLine="0"/>
      </w:pPr>
    </w:p>
    <w:p w14:paraId="1A7C7DE4" w14:textId="4159D537" w:rsidR="00494C85" w:rsidRPr="0081683E" w:rsidRDefault="00434A38">
      <w:pPr>
        <w:spacing w:after="0"/>
        <w:ind w:left="0" w:firstLine="0"/>
        <w:rPr>
          <w:b/>
          <w:bCs/>
        </w:rPr>
      </w:pPr>
      <w:r w:rsidRPr="0081683E">
        <w:rPr>
          <w:b/>
          <w:bCs/>
        </w:rPr>
        <w:t>The Data Protection Principles are as follows:</w:t>
      </w:r>
    </w:p>
    <w:p w14:paraId="20032239" w14:textId="77777777" w:rsidR="00434A38" w:rsidRDefault="00434A38">
      <w:pPr>
        <w:spacing w:after="0"/>
        <w:ind w:left="0" w:firstLine="0"/>
      </w:pPr>
    </w:p>
    <w:tbl>
      <w:tblPr>
        <w:tblStyle w:val="GridTable4-Accent5"/>
        <w:tblW w:w="0" w:type="auto"/>
        <w:tblLook w:val="0480" w:firstRow="0" w:lastRow="0" w:firstColumn="1" w:lastColumn="0" w:noHBand="0" w:noVBand="1"/>
      </w:tblPr>
      <w:tblGrid>
        <w:gridCol w:w="2547"/>
        <w:gridCol w:w="7081"/>
      </w:tblGrid>
      <w:tr w:rsidR="00E35E23" w14:paraId="7BD3A662" w14:textId="77777777" w:rsidTr="33524F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0026E84" w14:textId="126B5CAB" w:rsidR="00E35E23" w:rsidRDefault="00E35E23">
            <w:pPr>
              <w:spacing w:after="0"/>
              <w:ind w:left="0" w:firstLine="0"/>
            </w:pPr>
            <w:r>
              <w:t xml:space="preserve">Lawfulness, </w:t>
            </w:r>
            <w:r w:rsidR="2E61B874">
              <w:t>fairness,</w:t>
            </w:r>
            <w:r>
              <w:t xml:space="preserve"> and transparency</w:t>
            </w:r>
          </w:p>
        </w:tc>
        <w:tc>
          <w:tcPr>
            <w:tcW w:w="7081" w:type="dxa"/>
          </w:tcPr>
          <w:p w14:paraId="08568FB4" w14:textId="5A5016FE" w:rsidR="00E35E23" w:rsidRDefault="00E35E23">
            <w:pPr>
              <w:spacing w:after="0"/>
              <w:ind w:left="0" w:firstLine="0"/>
              <w:cnfStyle w:val="000000100000" w:firstRow="0" w:lastRow="0" w:firstColumn="0" w:lastColumn="0" w:oddVBand="0" w:evenVBand="0" w:oddHBand="1" w:evenHBand="0" w:firstRowFirstColumn="0" w:firstRowLastColumn="0" w:lastRowFirstColumn="0" w:lastRowLastColumn="0"/>
            </w:pPr>
            <w:r>
              <w:t>That we collect and process in a fair and transparent manner</w:t>
            </w:r>
            <w:r w:rsidR="31D1AC54">
              <w:t xml:space="preserve">. </w:t>
            </w:r>
            <w:r>
              <w:t>We do not collect for other than the intended purpose set</w:t>
            </w:r>
          </w:p>
        </w:tc>
      </w:tr>
      <w:tr w:rsidR="00E35E23" w14:paraId="6120EC72" w14:textId="77777777" w:rsidTr="33524FD7">
        <w:tc>
          <w:tcPr>
            <w:cnfStyle w:val="001000000000" w:firstRow="0" w:lastRow="0" w:firstColumn="1" w:lastColumn="0" w:oddVBand="0" w:evenVBand="0" w:oddHBand="0" w:evenHBand="0" w:firstRowFirstColumn="0" w:firstRowLastColumn="0" w:lastRowFirstColumn="0" w:lastRowLastColumn="0"/>
            <w:tcW w:w="2547" w:type="dxa"/>
          </w:tcPr>
          <w:p w14:paraId="01A2EE13" w14:textId="53D31AE2" w:rsidR="00E35E23" w:rsidRDefault="00E35E23">
            <w:pPr>
              <w:spacing w:after="0"/>
              <w:ind w:left="0" w:firstLine="0"/>
            </w:pPr>
            <w:r>
              <w:t>Purpose limitation</w:t>
            </w:r>
          </w:p>
        </w:tc>
        <w:tc>
          <w:tcPr>
            <w:tcW w:w="7081" w:type="dxa"/>
          </w:tcPr>
          <w:p w14:paraId="6293F4BD" w14:textId="12DD3305" w:rsidR="00E35E23" w:rsidRDefault="00E35E23">
            <w:pPr>
              <w:spacing w:after="0"/>
              <w:ind w:left="0" w:firstLine="0"/>
              <w:cnfStyle w:val="000000000000" w:firstRow="0" w:lastRow="0" w:firstColumn="0" w:lastColumn="0" w:oddVBand="0" w:evenVBand="0" w:oddHBand="0" w:evenHBand="0" w:firstRowFirstColumn="0" w:firstRowLastColumn="0" w:lastRowFirstColumn="0" w:lastRowLastColumn="0"/>
            </w:pPr>
            <w:r>
              <w:t>We collect for a specific legitimate reason and process for those reasons</w:t>
            </w:r>
            <w:r w:rsidR="4677FD46">
              <w:t xml:space="preserve">. </w:t>
            </w:r>
            <w:r>
              <w:t>We will review data and redact when the purpose is exceeded where it is incompatible with the initial purpose.</w:t>
            </w:r>
          </w:p>
        </w:tc>
      </w:tr>
      <w:tr w:rsidR="00E35E23" w14:paraId="6E7B7300" w14:textId="77777777" w:rsidTr="33524F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71BCB66" w14:textId="413D1825" w:rsidR="00E35E23" w:rsidRDefault="00E35E23">
            <w:pPr>
              <w:spacing w:after="0"/>
              <w:ind w:left="0" w:firstLine="0"/>
            </w:pPr>
            <w:r>
              <w:t>Data minimisation</w:t>
            </w:r>
          </w:p>
        </w:tc>
        <w:tc>
          <w:tcPr>
            <w:tcW w:w="7081" w:type="dxa"/>
          </w:tcPr>
          <w:p w14:paraId="1056D6CF" w14:textId="2948F4CE" w:rsidR="00E35E23" w:rsidRDefault="00E35E23">
            <w:pPr>
              <w:spacing w:after="0"/>
              <w:ind w:left="0" w:firstLine="0"/>
              <w:cnfStyle w:val="000000100000" w:firstRow="0" w:lastRow="0" w:firstColumn="0" w:lastColumn="0" w:oddVBand="0" w:evenVBand="0" w:oddHBand="1" w:evenHBand="0" w:firstRowFirstColumn="0" w:firstRowLastColumn="0" w:lastRowFirstColumn="0" w:lastRowLastColumn="0"/>
            </w:pPr>
            <w:r>
              <w:t>The data we store will only be used for the intended purpose for which it is being processed</w:t>
            </w:r>
          </w:p>
        </w:tc>
      </w:tr>
      <w:tr w:rsidR="00E35E23" w14:paraId="3E4C3AEA" w14:textId="77777777" w:rsidTr="33524FD7">
        <w:tc>
          <w:tcPr>
            <w:cnfStyle w:val="001000000000" w:firstRow="0" w:lastRow="0" w:firstColumn="1" w:lastColumn="0" w:oddVBand="0" w:evenVBand="0" w:oddHBand="0" w:evenHBand="0" w:firstRowFirstColumn="0" w:firstRowLastColumn="0" w:lastRowFirstColumn="0" w:lastRowLastColumn="0"/>
            <w:tcW w:w="2547" w:type="dxa"/>
          </w:tcPr>
          <w:p w14:paraId="10F7C2DC" w14:textId="0F45AB9B" w:rsidR="00E35E23" w:rsidRDefault="00E35E23">
            <w:pPr>
              <w:spacing w:after="0"/>
              <w:ind w:left="0" w:firstLine="0"/>
            </w:pPr>
            <w:r>
              <w:t>Accuracy</w:t>
            </w:r>
          </w:p>
        </w:tc>
        <w:tc>
          <w:tcPr>
            <w:tcW w:w="7081" w:type="dxa"/>
          </w:tcPr>
          <w:p w14:paraId="0BFB2F24" w14:textId="5C7DD32B" w:rsidR="00E35E23" w:rsidRDefault="00E35E23">
            <w:pPr>
              <w:spacing w:after="0"/>
              <w:ind w:left="0" w:firstLine="0"/>
              <w:cnfStyle w:val="000000000000" w:firstRow="0" w:lastRow="0" w:firstColumn="0" w:lastColumn="0" w:oddVBand="0" w:evenVBand="0" w:oddHBand="0" w:evenHBand="0" w:firstRowFirstColumn="0" w:firstRowLastColumn="0" w:lastRowFirstColumn="0" w:lastRowLastColumn="0"/>
            </w:pPr>
            <w:r>
              <w:t xml:space="preserve">We will ensure data is accurate and up to date, ensuring that all inaccurate data is rectified, including </w:t>
            </w:r>
            <w:r w:rsidR="1A66F3D3">
              <w:t>removal,</w:t>
            </w:r>
            <w:r>
              <w:t xml:space="preserve"> or erasing without delay.</w:t>
            </w:r>
          </w:p>
        </w:tc>
      </w:tr>
      <w:tr w:rsidR="00E35E23" w14:paraId="69CEC6BB" w14:textId="77777777" w:rsidTr="33524F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D683D05" w14:textId="379FD539" w:rsidR="00E35E23" w:rsidRDefault="00E35E23">
            <w:pPr>
              <w:spacing w:after="0"/>
              <w:ind w:left="0" w:firstLine="0"/>
            </w:pPr>
            <w:r>
              <w:t>Storage limitation</w:t>
            </w:r>
          </w:p>
        </w:tc>
        <w:tc>
          <w:tcPr>
            <w:tcW w:w="7081" w:type="dxa"/>
          </w:tcPr>
          <w:p w14:paraId="22F9F23D" w14:textId="1A5521A7" w:rsidR="00E35E23" w:rsidRDefault="00E35E23">
            <w:pPr>
              <w:spacing w:after="0"/>
              <w:ind w:left="0" w:firstLine="0"/>
              <w:cnfStyle w:val="000000100000" w:firstRow="0" w:lastRow="0" w:firstColumn="0" w:lastColumn="0" w:oddVBand="0" w:evenVBand="0" w:oddHBand="1" w:evenHBand="0" w:firstRowFirstColumn="0" w:firstRowLastColumn="0" w:lastRowFirstColumn="0" w:lastRowLastColumn="0"/>
            </w:pPr>
            <w:r>
              <w:t>It is only retained for ‘necessity’ or to meet a legal requirement for retention</w:t>
            </w:r>
            <w:r w:rsidR="0840CF52">
              <w:t xml:space="preserve">. </w:t>
            </w:r>
          </w:p>
        </w:tc>
      </w:tr>
      <w:tr w:rsidR="00E35E23" w14:paraId="7B53F5F5" w14:textId="77777777" w:rsidTr="33524FD7">
        <w:tc>
          <w:tcPr>
            <w:cnfStyle w:val="001000000000" w:firstRow="0" w:lastRow="0" w:firstColumn="1" w:lastColumn="0" w:oddVBand="0" w:evenVBand="0" w:oddHBand="0" w:evenHBand="0" w:firstRowFirstColumn="0" w:firstRowLastColumn="0" w:lastRowFirstColumn="0" w:lastRowLastColumn="0"/>
            <w:tcW w:w="2547" w:type="dxa"/>
          </w:tcPr>
          <w:p w14:paraId="1B297008" w14:textId="5997CF1D" w:rsidR="00E35E23" w:rsidRDefault="00E35E23">
            <w:pPr>
              <w:spacing w:after="0"/>
              <w:ind w:left="0" w:firstLine="0"/>
            </w:pPr>
            <w:r>
              <w:t>Integrity and confidentiality (security)</w:t>
            </w:r>
          </w:p>
        </w:tc>
        <w:tc>
          <w:tcPr>
            <w:tcW w:w="7081" w:type="dxa"/>
          </w:tcPr>
          <w:p w14:paraId="1FBB9BC7" w14:textId="086D93B8" w:rsidR="00E35E23" w:rsidRDefault="00E35E23">
            <w:pPr>
              <w:spacing w:after="0"/>
              <w:ind w:left="0" w:firstLine="0"/>
              <w:cnfStyle w:val="000000000000" w:firstRow="0" w:lastRow="0" w:firstColumn="0" w:lastColumn="0" w:oddVBand="0" w:evenVBand="0" w:oddHBand="0" w:evenHBand="0" w:firstRowFirstColumn="0" w:firstRowLastColumn="0" w:lastRowFirstColumn="0" w:lastRowLastColumn="0"/>
            </w:pPr>
            <w:r>
              <w:t xml:space="preserve">The processing of personal data will always consider safeguards to protect it including unauthorised or unlawful processing, accidental loss, destruction, damage and use appropriate measures to </w:t>
            </w:r>
            <w:r w:rsidR="4CFB6110">
              <w:t>always ensure confidentiality and integrity</w:t>
            </w:r>
            <w:r>
              <w:t>.</w:t>
            </w:r>
          </w:p>
        </w:tc>
      </w:tr>
      <w:tr w:rsidR="00E35E23" w14:paraId="046AA414" w14:textId="77777777" w:rsidTr="33524F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F0F7F08" w14:textId="641536A7" w:rsidR="00E35E23" w:rsidRDefault="00E35E23">
            <w:pPr>
              <w:spacing w:after="0"/>
              <w:ind w:left="0" w:firstLine="0"/>
            </w:pPr>
            <w:r>
              <w:t>Accountability</w:t>
            </w:r>
          </w:p>
        </w:tc>
        <w:tc>
          <w:tcPr>
            <w:tcW w:w="7081" w:type="dxa"/>
          </w:tcPr>
          <w:p w14:paraId="60890AA7" w14:textId="024DA8AD" w:rsidR="00E35E23" w:rsidRDefault="00E35E23">
            <w:pPr>
              <w:spacing w:after="0"/>
              <w:ind w:left="0" w:firstLine="0"/>
              <w:cnfStyle w:val="000000100000" w:firstRow="0" w:lastRow="0" w:firstColumn="0" w:lastColumn="0" w:oddVBand="0" w:evenVBand="0" w:oddHBand="1" w:evenHBand="0" w:firstRowFirstColumn="0" w:firstRowLastColumn="0" w:lastRowFirstColumn="0" w:lastRowLastColumn="0"/>
            </w:pPr>
            <w:r>
              <w:t xml:space="preserve">The </w:t>
            </w:r>
            <w:r w:rsidR="2C5FA328">
              <w:t>DPO (Data Protection Officer)</w:t>
            </w:r>
            <w:r>
              <w:t xml:space="preserve"> will be responsible for and be able to demonstrate compliance with all the above upon a formal request.</w:t>
            </w:r>
          </w:p>
        </w:tc>
      </w:tr>
    </w:tbl>
    <w:p w14:paraId="6ABA074B" w14:textId="77777777" w:rsidR="00434A38" w:rsidRDefault="00434A38">
      <w:pPr>
        <w:spacing w:after="0"/>
        <w:ind w:left="0" w:firstLine="0"/>
      </w:pPr>
    </w:p>
    <w:p w14:paraId="6726819B" w14:textId="77777777" w:rsidR="00434A38" w:rsidRDefault="00434A38">
      <w:pPr>
        <w:spacing w:after="0"/>
        <w:ind w:left="0" w:firstLine="0"/>
      </w:pPr>
    </w:p>
    <w:p w14:paraId="1D55CCD2" w14:textId="77777777" w:rsidR="00804527" w:rsidRDefault="00804527">
      <w:pPr>
        <w:spacing w:after="0"/>
        <w:ind w:left="0" w:firstLine="0"/>
        <w:rPr>
          <w:b/>
          <w:bCs/>
        </w:rPr>
      </w:pPr>
      <w:r>
        <w:rPr>
          <w:b/>
          <w:bCs/>
        </w:rPr>
        <w:br w:type="page"/>
      </w:r>
    </w:p>
    <w:p w14:paraId="7C1C8AC8" w14:textId="56051DD1" w:rsidR="00434A38" w:rsidRPr="00B52FEC" w:rsidRDefault="0081683E">
      <w:pPr>
        <w:spacing w:after="0"/>
        <w:ind w:left="0" w:firstLine="0"/>
        <w:rPr>
          <w:b/>
          <w:bCs/>
        </w:rPr>
      </w:pPr>
      <w:r w:rsidRPr="00B52FEC">
        <w:rPr>
          <w:b/>
          <w:bCs/>
        </w:rPr>
        <w:lastRenderedPageBreak/>
        <w:t>Individual rights</w:t>
      </w:r>
    </w:p>
    <w:p w14:paraId="2EB7CB04" w14:textId="77777777" w:rsidR="0081683E" w:rsidRDefault="0081683E">
      <w:pPr>
        <w:spacing w:after="0"/>
        <w:ind w:left="0" w:firstLine="0"/>
      </w:pPr>
    </w:p>
    <w:p w14:paraId="42AD33BF" w14:textId="4616F3DC" w:rsidR="0081683E" w:rsidRDefault="0081683E">
      <w:pPr>
        <w:spacing w:after="0"/>
        <w:ind w:left="0" w:firstLine="0"/>
      </w:pPr>
      <w:r>
        <w:t>An individual who is the subject of personal data being held about them has specific rights afforded to them</w:t>
      </w:r>
      <w:r w:rsidR="6C8CAFFB">
        <w:t xml:space="preserve">. </w:t>
      </w:r>
      <w:r>
        <w:t>They are entitled to make a ‘subject access request’ at any time about the data processed where they can request any of the following:</w:t>
      </w:r>
    </w:p>
    <w:p w14:paraId="3838436A" w14:textId="77777777" w:rsidR="0081683E" w:rsidRDefault="0081683E">
      <w:pPr>
        <w:spacing w:after="0"/>
        <w:ind w:left="0" w:firstLine="0"/>
      </w:pPr>
    </w:p>
    <w:tbl>
      <w:tblPr>
        <w:tblStyle w:val="TableGrid"/>
        <w:tblW w:w="0" w:type="auto"/>
        <w:tblLook w:val="04A0" w:firstRow="1" w:lastRow="0" w:firstColumn="1" w:lastColumn="0" w:noHBand="0" w:noVBand="1"/>
      </w:tblPr>
      <w:tblGrid>
        <w:gridCol w:w="4814"/>
        <w:gridCol w:w="4814"/>
      </w:tblGrid>
      <w:tr w:rsidR="0081683E" w14:paraId="55DF2475" w14:textId="77777777" w:rsidTr="0081683E">
        <w:tc>
          <w:tcPr>
            <w:tcW w:w="4814" w:type="dxa"/>
          </w:tcPr>
          <w:p w14:paraId="59FC0945" w14:textId="0C5D7182" w:rsidR="0081683E" w:rsidRDefault="0081683E">
            <w:pPr>
              <w:spacing w:after="0"/>
              <w:ind w:left="0" w:firstLine="0"/>
            </w:pPr>
            <w:r>
              <w:t xml:space="preserve">Whether their data is processed and if so, why. </w:t>
            </w:r>
          </w:p>
        </w:tc>
        <w:tc>
          <w:tcPr>
            <w:tcW w:w="4814" w:type="dxa"/>
          </w:tcPr>
          <w:p w14:paraId="34FC809F" w14:textId="376511A5" w:rsidR="0081683E" w:rsidRDefault="0081683E">
            <w:pPr>
              <w:spacing w:after="0"/>
              <w:ind w:left="0" w:firstLine="0"/>
            </w:pPr>
            <w:r>
              <w:t>The categories of personal data processed and the source of the data if not from the individual.</w:t>
            </w:r>
          </w:p>
        </w:tc>
      </w:tr>
      <w:tr w:rsidR="0081683E" w14:paraId="1AB936F3" w14:textId="77777777" w:rsidTr="0081683E">
        <w:tc>
          <w:tcPr>
            <w:tcW w:w="4814" w:type="dxa"/>
          </w:tcPr>
          <w:p w14:paraId="6C868E64" w14:textId="7A52569B" w:rsidR="0081683E" w:rsidRDefault="0081683E">
            <w:pPr>
              <w:spacing w:after="0"/>
              <w:ind w:left="0" w:firstLine="0"/>
            </w:pPr>
            <w:r>
              <w:t>Confirmation if any data is held outside of the UK, and the safeguards in place to protect the data.</w:t>
            </w:r>
          </w:p>
        </w:tc>
        <w:tc>
          <w:tcPr>
            <w:tcW w:w="4814" w:type="dxa"/>
          </w:tcPr>
          <w:p w14:paraId="01119622" w14:textId="031EF2C7" w:rsidR="0081683E" w:rsidRDefault="0081683E">
            <w:pPr>
              <w:spacing w:after="0"/>
              <w:ind w:left="0" w:firstLine="0"/>
            </w:pPr>
            <w:r>
              <w:t>Our retention and disposal policy in relation to their personal data</w:t>
            </w:r>
          </w:p>
        </w:tc>
      </w:tr>
      <w:tr w:rsidR="0081683E" w14:paraId="29CF95D5" w14:textId="77777777" w:rsidTr="0081683E">
        <w:tc>
          <w:tcPr>
            <w:tcW w:w="4814" w:type="dxa"/>
          </w:tcPr>
          <w:p w14:paraId="4E7DBC47" w14:textId="08C82FF7" w:rsidR="0081683E" w:rsidRDefault="0081683E">
            <w:pPr>
              <w:spacing w:after="0"/>
              <w:ind w:left="0" w:firstLine="0"/>
            </w:pPr>
            <w:r>
              <w:t xml:space="preserve">The right to </w:t>
            </w:r>
            <w:r w:rsidR="00B52FEC">
              <w:t>rectification</w:t>
            </w:r>
            <w:r w:rsidR="00BC5C2A">
              <w:t xml:space="preserve"> or any data that is believed to be inaccurate</w:t>
            </w:r>
          </w:p>
        </w:tc>
        <w:tc>
          <w:tcPr>
            <w:tcW w:w="4814" w:type="dxa"/>
          </w:tcPr>
          <w:p w14:paraId="48ACD762" w14:textId="2C8A3A3E" w:rsidR="0081683E" w:rsidRDefault="0081683E">
            <w:pPr>
              <w:spacing w:after="0"/>
              <w:ind w:left="0" w:firstLine="0"/>
            </w:pPr>
            <w:r>
              <w:t xml:space="preserve">The right of erasure where </w:t>
            </w:r>
            <w:r w:rsidR="00B52FEC">
              <w:t>a contractual or legal obligation does not prevent it.</w:t>
            </w:r>
          </w:p>
        </w:tc>
      </w:tr>
      <w:tr w:rsidR="0081683E" w14:paraId="31B5A245" w14:textId="77777777" w:rsidTr="0081683E">
        <w:tc>
          <w:tcPr>
            <w:tcW w:w="4814" w:type="dxa"/>
          </w:tcPr>
          <w:p w14:paraId="1BB3CDF2" w14:textId="49132100" w:rsidR="0081683E" w:rsidRDefault="00B52FEC">
            <w:pPr>
              <w:spacing w:after="0"/>
              <w:ind w:left="0" w:firstLine="0"/>
            </w:pPr>
            <w:r>
              <w:t>The right to restrict or object to processing being recorded</w:t>
            </w:r>
          </w:p>
        </w:tc>
        <w:tc>
          <w:tcPr>
            <w:tcW w:w="4814" w:type="dxa"/>
          </w:tcPr>
          <w:p w14:paraId="5BF06DEA" w14:textId="289D739A" w:rsidR="0081683E" w:rsidRDefault="00B52FEC">
            <w:pPr>
              <w:spacing w:after="0"/>
              <w:ind w:left="0" w:firstLine="0"/>
            </w:pPr>
            <w:r>
              <w:t>To understand their right to contact the ICO if they feel we have failed to comply</w:t>
            </w:r>
          </w:p>
        </w:tc>
      </w:tr>
      <w:tr w:rsidR="00B52FEC" w14:paraId="1FB44FE3" w14:textId="77777777" w:rsidTr="00B44DDF">
        <w:tc>
          <w:tcPr>
            <w:tcW w:w="9628" w:type="dxa"/>
            <w:gridSpan w:val="2"/>
          </w:tcPr>
          <w:p w14:paraId="03EFC063" w14:textId="34210501" w:rsidR="00B52FEC" w:rsidRDefault="00B52FEC">
            <w:pPr>
              <w:spacing w:after="0"/>
              <w:ind w:left="0" w:firstLine="0"/>
            </w:pPr>
            <w:r>
              <w:t>To know if any of their personal data has been used for automated decision making or logic involved in any such decision making.</w:t>
            </w:r>
          </w:p>
        </w:tc>
      </w:tr>
      <w:tr w:rsidR="00BC5C2A" w14:paraId="0B0FF2B1" w14:textId="77777777" w:rsidTr="00B44DDF">
        <w:tc>
          <w:tcPr>
            <w:tcW w:w="9628" w:type="dxa"/>
            <w:gridSpan w:val="2"/>
          </w:tcPr>
          <w:p w14:paraId="1C9E96E8" w14:textId="47E7804E" w:rsidR="00BC5C2A" w:rsidRDefault="00BC5C2A">
            <w:pPr>
              <w:spacing w:after="0"/>
              <w:ind w:left="0" w:firstLine="0"/>
            </w:pPr>
            <w:r>
              <w:t xml:space="preserve">To request data processing is stopped </w:t>
            </w:r>
            <w:r w:rsidR="00AC095B">
              <w:t>or retained no longer than necessary, unlawful or has no bases for collection.</w:t>
            </w:r>
          </w:p>
        </w:tc>
      </w:tr>
    </w:tbl>
    <w:p w14:paraId="616122A9" w14:textId="77777777" w:rsidR="0081683E" w:rsidRDefault="0081683E">
      <w:pPr>
        <w:spacing w:after="0"/>
        <w:ind w:left="0" w:firstLine="0"/>
      </w:pPr>
    </w:p>
    <w:p w14:paraId="49D5277F" w14:textId="01800724" w:rsidR="00B52FEC" w:rsidRDefault="00B52FEC" w:rsidP="00AC095B">
      <w:pPr>
        <w:pStyle w:val="ListParagraph"/>
        <w:numPr>
          <w:ilvl w:val="0"/>
          <w:numId w:val="31"/>
        </w:numPr>
        <w:spacing w:after="0"/>
      </w:pPr>
      <w:r>
        <w:t>Individuals will be advised of our reasons for collecting such data at the time of request</w:t>
      </w:r>
      <w:r w:rsidR="309067FF">
        <w:t xml:space="preserve">. </w:t>
      </w:r>
      <w:r>
        <w:t xml:space="preserve">Where we process data for other </w:t>
      </w:r>
      <w:r w:rsidR="6EDF9F47">
        <w:t>agencies,</w:t>
      </w:r>
      <w:r>
        <w:t xml:space="preserve"> we will be clear to direct individuals to the relevant processing notices </w:t>
      </w:r>
      <w:r w:rsidR="5250D1AE">
        <w:t>held and</w:t>
      </w:r>
      <w:r>
        <w:t xml:space="preserve"> will be transparent at the time of data collection</w:t>
      </w:r>
      <w:r w:rsidR="07D5B488">
        <w:t xml:space="preserve">. </w:t>
      </w:r>
      <w:r>
        <w:t>Where any data is processed and collected under ‘legitimate reasons’ the DPO will conduct an assessment to ensure those interests do not override the rights and freedoms of individuals.</w:t>
      </w:r>
    </w:p>
    <w:p w14:paraId="214803BB" w14:textId="52A93C1D" w:rsidR="00B52FEC" w:rsidRDefault="00B52FEC" w:rsidP="00AC095B">
      <w:pPr>
        <w:pStyle w:val="ListParagraph"/>
        <w:numPr>
          <w:ilvl w:val="0"/>
          <w:numId w:val="31"/>
        </w:numPr>
        <w:spacing w:after="0"/>
      </w:pPr>
      <w:r>
        <w:t xml:space="preserve">We will maintain and have a privacy </w:t>
      </w:r>
      <w:bookmarkStart w:id="8" w:name="_Int_Eem3lNHJ"/>
      <w:proofErr w:type="gramStart"/>
      <w:r>
        <w:t>notice available on our website at all times</w:t>
      </w:r>
      <w:bookmarkEnd w:id="8"/>
      <w:proofErr w:type="gramEnd"/>
      <w:r>
        <w:t xml:space="preserve"> that will be kept up to date and accurate at all times.</w:t>
      </w:r>
    </w:p>
    <w:p w14:paraId="61A9B7B8" w14:textId="442FBF72" w:rsidR="00B52FEC" w:rsidRDefault="00B52FEC" w:rsidP="00AC095B">
      <w:pPr>
        <w:pStyle w:val="ListParagraph"/>
        <w:numPr>
          <w:ilvl w:val="0"/>
          <w:numId w:val="31"/>
        </w:numPr>
        <w:spacing w:after="0"/>
      </w:pPr>
      <w:r>
        <w:t>Any data that is reported to us as being inaccurate will be changed promptly.</w:t>
      </w:r>
    </w:p>
    <w:p w14:paraId="198B8C5F" w14:textId="6518D99F" w:rsidR="00B52FEC" w:rsidRDefault="00B52FEC" w:rsidP="00AC095B">
      <w:pPr>
        <w:pStyle w:val="ListParagraph"/>
        <w:numPr>
          <w:ilvl w:val="0"/>
          <w:numId w:val="31"/>
        </w:numPr>
        <w:spacing w:after="0"/>
      </w:pPr>
      <w:r>
        <w:t>The documents and data we process are detailed in our Document Retention Policy, including retention and destruction periods.</w:t>
      </w:r>
    </w:p>
    <w:p w14:paraId="6FF2DD20" w14:textId="63FE1716" w:rsidR="00B52FEC" w:rsidRDefault="00B52FEC" w:rsidP="00B52FEC">
      <w:pPr>
        <w:pStyle w:val="ListParagraph"/>
        <w:numPr>
          <w:ilvl w:val="0"/>
          <w:numId w:val="31"/>
        </w:numPr>
        <w:spacing w:after="0"/>
      </w:pPr>
      <w:r>
        <w:t>We keep a record of all processing activities to meet our legislative obligations under UK GDPR.</w:t>
      </w:r>
    </w:p>
    <w:p w14:paraId="376DE670" w14:textId="77777777" w:rsidR="00B52FEC" w:rsidRDefault="00B52FEC" w:rsidP="00B52FEC">
      <w:pPr>
        <w:pStyle w:val="ListParagraph"/>
      </w:pPr>
    </w:p>
    <w:p w14:paraId="1D1AF5AB" w14:textId="77777777" w:rsidR="00804527" w:rsidRDefault="00804527">
      <w:pPr>
        <w:spacing w:after="0"/>
        <w:ind w:left="0" w:firstLine="0"/>
        <w:rPr>
          <w:b/>
          <w:bCs/>
        </w:rPr>
      </w:pPr>
      <w:r>
        <w:rPr>
          <w:b/>
          <w:bCs/>
        </w:rPr>
        <w:br w:type="page"/>
      </w:r>
    </w:p>
    <w:p w14:paraId="3CF5A955" w14:textId="7F9F4B5C" w:rsidR="00B52FEC" w:rsidRPr="00B52FEC" w:rsidRDefault="00B52FEC" w:rsidP="00B52FEC">
      <w:pPr>
        <w:spacing w:after="0"/>
        <w:rPr>
          <w:b/>
          <w:bCs/>
        </w:rPr>
      </w:pPr>
      <w:r w:rsidRPr="00B52FEC">
        <w:rPr>
          <w:b/>
          <w:bCs/>
        </w:rPr>
        <w:lastRenderedPageBreak/>
        <w:t>Subject Access Request</w:t>
      </w:r>
      <w:r w:rsidR="00AC095B">
        <w:rPr>
          <w:b/>
          <w:bCs/>
        </w:rPr>
        <w:t>(s)</w:t>
      </w:r>
    </w:p>
    <w:p w14:paraId="7FD863A6" w14:textId="77777777" w:rsidR="00B52FEC" w:rsidRDefault="00B52FEC" w:rsidP="00B52FEC">
      <w:pPr>
        <w:spacing w:after="0"/>
      </w:pPr>
    </w:p>
    <w:p w14:paraId="18332FFA" w14:textId="34BC5CC5" w:rsidR="00B52FEC" w:rsidRDefault="00B52FEC" w:rsidP="004B4B06">
      <w:pPr>
        <w:spacing w:after="0"/>
        <w:ind w:left="0" w:firstLine="0"/>
      </w:pPr>
      <w:r>
        <w:t xml:space="preserve">We aim to ensure that individuals can access their data at any </w:t>
      </w:r>
      <w:r w:rsidR="13FCB478">
        <w:t>time or</w:t>
      </w:r>
      <w:r>
        <w:t xml:space="preserve"> ensure that initial copies are provided to them at the beginning</w:t>
      </w:r>
      <w:r w:rsidR="7A11537F">
        <w:t xml:space="preserve">. </w:t>
      </w:r>
      <w:r>
        <w:t>Any future requests for copies that we consider would cause an administrative burden on us will be charged and released only when payment has been made</w:t>
      </w:r>
      <w:r w:rsidR="3C933CD8">
        <w:t xml:space="preserve">. </w:t>
      </w:r>
      <w:r w:rsidR="00BC5C2A" w:rsidRPr="33524FD7">
        <w:rPr>
          <w:b/>
          <w:bCs/>
        </w:rPr>
        <w:t>APPENDIX 1 CONTAINS ALL INFORMATION WE REQUIRED BEFORE WE CAN PROCESS A REQUEST</w:t>
      </w:r>
      <w:r w:rsidR="00BC5C2A">
        <w:t>.</w:t>
      </w:r>
    </w:p>
    <w:p w14:paraId="5D8269EC" w14:textId="77777777" w:rsidR="00B52FEC" w:rsidRDefault="00B52FEC" w:rsidP="004B4B06">
      <w:pPr>
        <w:spacing w:after="0"/>
        <w:ind w:left="0" w:firstLine="0"/>
      </w:pPr>
    </w:p>
    <w:p w14:paraId="268C8DB2" w14:textId="7A0CB85A" w:rsidR="00BC5C2A" w:rsidRDefault="02D6326D" w:rsidP="004B4B06">
      <w:pPr>
        <w:spacing w:after="0"/>
        <w:ind w:left="0" w:firstLine="0"/>
      </w:pPr>
      <w:r>
        <w:t>S</w:t>
      </w:r>
      <w:r w:rsidR="00B52FEC">
        <w:t xml:space="preserve">ubject access </w:t>
      </w:r>
      <w:r w:rsidR="1DB4BD85">
        <w:t>requests</w:t>
      </w:r>
      <w:r w:rsidR="00B52FEC">
        <w:t xml:space="preserve"> must be sent from the individual whose data it relates </w:t>
      </w:r>
      <w:r w:rsidR="6BB4096D">
        <w:t>to or</w:t>
      </w:r>
      <w:r w:rsidR="00BC5C2A">
        <w:t xml:space="preserve"> must have authorisation of that individual if it is a third party making the request</w:t>
      </w:r>
      <w:r w:rsidR="1BC39040">
        <w:t xml:space="preserve">. </w:t>
      </w:r>
      <w:r w:rsidR="00BC5C2A">
        <w:t xml:space="preserve">We will ask for this as </w:t>
      </w:r>
      <w:r w:rsidR="7FCF2A94">
        <w:t>evidence and</w:t>
      </w:r>
      <w:r w:rsidR="00BC5C2A">
        <w:t xml:space="preserve"> may request evidence of the individual to confirm proof of identification.</w:t>
      </w:r>
    </w:p>
    <w:p w14:paraId="0E753056" w14:textId="77777777" w:rsidR="00BC5C2A" w:rsidRDefault="00BC5C2A" w:rsidP="004B4B06">
      <w:pPr>
        <w:spacing w:after="0"/>
        <w:ind w:left="0" w:firstLine="0"/>
      </w:pPr>
    </w:p>
    <w:p w14:paraId="2EF676DA" w14:textId="4028CF6E" w:rsidR="00B52FEC" w:rsidRDefault="00BC5C2A" w:rsidP="004B4B06">
      <w:pPr>
        <w:spacing w:after="0"/>
        <w:ind w:left="0" w:firstLine="0"/>
      </w:pPr>
      <w:r>
        <w:t xml:space="preserve">Upon receipt the individual will be acknowledged and advised of the </w:t>
      </w:r>
      <w:r w:rsidR="2734209B">
        <w:t>status</w:t>
      </w:r>
      <w:r>
        <w:t xml:space="preserve"> of the request</w:t>
      </w:r>
      <w:r w:rsidR="7D7BCC5A">
        <w:t xml:space="preserve">. </w:t>
      </w:r>
      <w:r>
        <w:t xml:space="preserve">Once verification of a genuine request being </w:t>
      </w:r>
      <w:r w:rsidR="25F23331">
        <w:t>made,</w:t>
      </w:r>
      <w:r>
        <w:t xml:space="preserve"> we will ensure that all responses take place within 1 calendar month, but if it involves </w:t>
      </w:r>
      <w:r w:rsidR="7D609AD8">
        <w:t>substantial amounts</w:t>
      </w:r>
      <w:r>
        <w:t xml:space="preserve"> of </w:t>
      </w:r>
      <w:r w:rsidR="06800362">
        <w:t>data,</w:t>
      </w:r>
      <w:r>
        <w:t xml:space="preserve"> we reserve the right to take up to three calendar months</w:t>
      </w:r>
      <w:r w:rsidR="0152AE2A">
        <w:t xml:space="preserve">. </w:t>
      </w:r>
      <w:r>
        <w:t>We will however advise the original requestor of this within one month of the request being made.</w:t>
      </w:r>
      <w:r w:rsidR="00B52FEC">
        <w:t xml:space="preserve"> </w:t>
      </w:r>
    </w:p>
    <w:p w14:paraId="4CF6C331" w14:textId="77777777" w:rsidR="00B52FEC" w:rsidRDefault="00B52FEC" w:rsidP="004B4B06">
      <w:pPr>
        <w:spacing w:after="0"/>
        <w:ind w:left="0" w:firstLine="0"/>
      </w:pPr>
    </w:p>
    <w:p w14:paraId="34F66042" w14:textId="7FD07789" w:rsidR="004C723D" w:rsidRDefault="00AF33DF" w:rsidP="004B4B06">
      <w:pPr>
        <w:spacing w:after="0"/>
        <w:ind w:left="0" w:firstLine="0"/>
      </w:pPr>
      <w:r>
        <w:t>We aim to provide free access as standard, but where the request is considered exceptional without proportionality,</w:t>
      </w:r>
      <w:r w:rsidR="00BC5C2A">
        <w:t xml:space="preserve"> we are not obliged to comply</w:t>
      </w:r>
      <w:r w:rsidR="6DC87F17">
        <w:t xml:space="preserve">. </w:t>
      </w:r>
      <w:r w:rsidR="00BC5C2A">
        <w:t xml:space="preserve">We will seek confirmation from the ICO in this situation and be guided by their validation of our </w:t>
      </w:r>
      <w:r w:rsidR="559E273E">
        <w:t>decision-making</w:t>
      </w:r>
      <w:r w:rsidR="00BC5C2A">
        <w:t xml:space="preserve"> process</w:t>
      </w:r>
      <w:r w:rsidR="2FD23ABA">
        <w:t xml:space="preserve">. </w:t>
      </w:r>
      <w:r w:rsidR="00BC5C2A">
        <w:t>We may not comply where a similar request for the individual has been made before where that was unfounded or excessive</w:t>
      </w:r>
      <w:r w:rsidR="3E714C44">
        <w:t xml:space="preserve">. </w:t>
      </w:r>
      <w:r w:rsidR="00BC5C2A">
        <w:t xml:space="preserve">We will always advise the original requestor of this decision, the </w:t>
      </w:r>
      <w:r w:rsidR="5E38894A">
        <w:t>reason</w:t>
      </w:r>
      <w:r w:rsidR="00BC5C2A">
        <w:t>, and their rights to complain to the ICO.</w:t>
      </w:r>
    </w:p>
    <w:p w14:paraId="74AEE1BA" w14:textId="77777777" w:rsidR="00AC095B" w:rsidRDefault="00AC095B" w:rsidP="00AC095B">
      <w:pPr>
        <w:pStyle w:val="NormalWeb"/>
        <w:rPr>
          <w:rFonts w:ascii="Arial" w:hAnsi="Arial" w:cs="Arial"/>
        </w:rPr>
      </w:pPr>
      <w:r>
        <w:rPr>
          <w:rFonts w:ascii="Arial" w:hAnsi="Arial" w:cs="Arial"/>
          <w:b/>
          <w:bCs/>
        </w:rPr>
        <w:t>Data security</w:t>
      </w:r>
    </w:p>
    <w:p w14:paraId="74168A30" w14:textId="23D03CE0" w:rsidR="00AC095B" w:rsidRPr="00804527" w:rsidRDefault="00AC095B" w:rsidP="00AC095B">
      <w:pPr>
        <w:pStyle w:val="NormalWeb"/>
        <w:rPr>
          <w:rFonts w:ascii="Arial" w:hAnsi="Arial" w:cs="Arial"/>
          <w:sz w:val="22"/>
          <w:szCs w:val="22"/>
        </w:rPr>
      </w:pPr>
      <w:r w:rsidRPr="33524FD7">
        <w:rPr>
          <w:rFonts w:ascii="Arial" w:hAnsi="Arial" w:cs="Arial"/>
          <w:sz w:val="22"/>
          <w:szCs w:val="22"/>
        </w:rPr>
        <w:t xml:space="preserve">The </w:t>
      </w:r>
      <w:bookmarkStart w:id="9" w:name="_Int_rsReOkEG"/>
      <w:r w:rsidRPr="33524FD7">
        <w:rPr>
          <w:rFonts w:ascii="Arial" w:hAnsi="Arial" w:cs="Arial"/>
          <w:sz w:val="22"/>
          <w:szCs w:val="22"/>
        </w:rPr>
        <w:t>organisation</w:t>
      </w:r>
      <w:bookmarkEnd w:id="9"/>
      <w:r w:rsidRPr="33524FD7">
        <w:rPr>
          <w:rFonts w:ascii="Arial" w:hAnsi="Arial" w:cs="Arial"/>
          <w:sz w:val="22"/>
          <w:szCs w:val="22"/>
        </w:rPr>
        <w:t xml:space="preserve"> takes the security of HR-related personal data seriously. The organisation has controls in place to protect personal data against loss, accidental destruction, </w:t>
      </w:r>
      <w:r w:rsidR="036D30A7" w:rsidRPr="33524FD7">
        <w:rPr>
          <w:rFonts w:ascii="Arial" w:hAnsi="Arial" w:cs="Arial"/>
          <w:sz w:val="22"/>
          <w:szCs w:val="22"/>
        </w:rPr>
        <w:t>misuse,</w:t>
      </w:r>
      <w:r w:rsidRPr="33524FD7">
        <w:rPr>
          <w:rFonts w:ascii="Arial" w:hAnsi="Arial" w:cs="Arial"/>
          <w:sz w:val="22"/>
          <w:szCs w:val="22"/>
        </w:rPr>
        <w:t xml:space="preserve"> or disclosure, and to ensure that data is not accessed, except by employees in the proper performance of their duties. </w:t>
      </w:r>
    </w:p>
    <w:p w14:paraId="1FC049C0" w14:textId="49D0BA58" w:rsidR="00AC095B" w:rsidRPr="00804527" w:rsidRDefault="00AC095B" w:rsidP="33BE6F6C">
      <w:pPr>
        <w:pStyle w:val="NormalWeb"/>
        <w:rPr>
          <w:rFonts w:ascii="Arial" w:hAnsi="Arial" w:cs="Arial"/>
          <w:sz w:val="22"/>
          <w:szCs w:val="22"/>
        </w:rPr>
      </w:pPr>
      <w:r w:rsidRPr="33BE6F6C">
        <w:rPr>
          <w:rFonts w:ascii="Arial" w:hAnsi="Arial" w:cs="Arial"/>
          <w:sz w:val="22"/>
          <w:szCs w:val="22"/>
        </w:rPr>
        <w:t xml:space="preserve">Where the organisation engages third parties to process personal data on its behalf, such parties do so </w:t>
      </w:r>
      <w:r w:rsidR="39E581C8" w:rsidRPr="33BE6F6C">
        <w:rPr>
          <w:rFonts w:ascii="Arial" w:hAnsi="Arial" w:cs="Arial"/>
          <w:sz w:val="22"/>
          <w:szCs w:val="22"/>
        </w:rPr>
        <w:t>based on</w:t>
      </w:r>
      <w:r w:rsidRPr="33BE6F6C">
        <w:rPr>
          <w:rFonts w:ascii="Arial" w:hAnsi="Arial" w:cs="Arial"/>
          <w:sz w:val="22"/>
          <w:szCs w:val="22"/>
        </w:rPr>
        <w:t xml:space="preserve"> written instructions, are under a duty of confidentiality and are obliged to implement appropriate technical and </w:t>
      </w:r>
      <w:bookmarkStart w:id="10" w:name="_Int_zpMxAkPA"/>
      <w:r w:rsidRPr="33BE6F6C">
        <w:rPr>
          <w:rFonts w:ascii="Arial" w:hAnsi="Arial" w:cs="Arial"/>
          <w:sz w:val="22"/>
          <w:szCs w:val="22"/>
        </w:rPr>
        <w:t>organisational</w:t>
      </w:r>
      <w:bookmarkEnd w:id="10"/>
      <w:r w:rsidRPr="33BE6F6C">
        <w:rPr>
          <w:rFonts w:ascii="Arial" w:hAnsi="Arial" w:cs="Arial"/>
          <w:sz w:val="22"/>
          <w:szCs w:val="22"/>
        </w:rPr>
        <w:t xml:space="preserve"> measures to ensure the security of data.</w:t>
      </w:r>
    </w:p>
    <w:p w14:paraId="2EDA1D66" w14:textId="77777777" w:rsidR="00AC095B" w:rsidRDefault="00AC095B" w:rsidP="00AC095B">
      <w:pPr>
        <w:pStyle w:val="NormalWeb"/>
        <w:rPr>
          <w:rFonts w:ascii="Arial" w:hAnsi="Arial" w:cs="Arial"/>
        </w:rPr>
      </w:pPr>
      <w:r>
        <w:rPr>
          <w:rFonts w:ascii="Arial" w:hAnsi="Arial" w:cs="Arial"/>
          <w:b/>
          <w:bCs/>
        </w:rPr>
        <w:t>Impact assessments</w:t>
      </w:r>
    </w:p>
    <w:p w14:paraId="00A692F2" w14:textId="14A1ED4D" w:rsidR="00AC095B" w:rsidRPr="00804527" w:rsidRDefault="00AC095B" w:rsidP="33BE6F6C">
      <w:pPr>
        <w:pStyle w:val="NormalWeb"/>
        <w:rPr>
          <w:rFonts w:ascii="Arial" w:hAnsi="Arial" w:cs="Arial"/>
          <w:sz w:val="22"/>
          <w:szCs w:val="22"/>
        </w:rPr>
      </w:pPr>
      <w:r w:rsidRPr="33BE6F6C">
        <w:rPr>
          <w:rFonts w:ascii="Arial" w:hAnsi="Arial" w:cs="Arial"/>
          <w:sz w:val="22"/>
          <w:szCs w:val="22"/>
        </w:rPr>
        <w:t xml:space="preserve">Some of the processing that the organisation carries out may result in risks to privacy. Where processing would result in </w:t>
      </w:r>
      <w:r w:rsidR="7568022E" w:rsidRPr="33BE6F6C">
        <w:rPr>
          <w:rFonts w:ascii="Arial" w:hAnsi="Arial" w:cs="Arial"/>
          <w:sz w:val="22"/>
          <w:szCs w:val="22"/>
        </w:rPr>
        <w:t>a considerable risk</w:t>
      </w:r>
      <w:r w:rsidRPr="33BE6F6C">
        <w:rPr>
          <w:rFonts w:ascii="Arial" w:hAnsi="Arial" w:cs="Arial"/>
          <w:sz w:val="22"/>
          <w:szCs w:val="22"/>
        </w:rPr>
        <w:t xml:space="preserve"> to individual's rights and freedoms, the organisation will carry out a data protection impact assessment to determine the necessity and proportionality of processing. This will include considering the purposes for which the activity is carried out, the risks for individuals and the measures that can be put in place to mitigate those risks.</w:t>
      </w:r>
    </w:p>
    <w:p w14:paraId="2F34370E" w14:textId="77777777" w:rsidR="00AC095B" w:rsidRDefault="00AC095B" w:rsidP="00AC095B">
      <w:pPr>
        <w:pStyle w:val="NormalWeb"/>
        <w:rPr>
          <w:rFonts w:ascii="Arial" w:hAnsi="Arial" w:cs="Arial"/>
        </w:rPr>
      </w:pPr>
      <w:r>
        <w:rPr>
          <w:rFonts w:ascii="Arial" w:hAnsi="Arial" w:cs="Arial"/>
          <w:b/>
          <w:bCs/>
        </w:rPr>
        <w:t>Data breaches</w:t>
      </w:r>
    </w:p>
    <w:p w14:paraId="0130DDEF" w14:textId="63E1DAED" w:rsidR="00AC095B" w:rsidRPr="00804527" w:rsidRDefault="00AC095B" w:rsidP="00AC095B">
      <w:pPr>
        <w:pStyle w:val="NormalWeb"/>
        <w:rPr>
          <w:rFonts w:ascii="Arial" w:hAnsi="Arial" w:cs="Arial"/>
          <w:sz w:val="22"/>
          <w:szCs w:val="22"/>
        </w:rPr>
      </w:pPr>
      <w:r w:rsidRPr="00804527">
        <w:rPr>
          <w:rFonts w:ascii="Arial" w:hAnsi="Arial" w:cs="Arial"/>
          <w:sz w:val="22"/>
          <w:szCs w:val="22"/>
        </w:rPr>
        <w:t xml:space="preserve">If the organisation discovers that there has been a breach of HR-related personal data that poses a risk to the rights and freedoms of individuals, it will report it to the </w:t>
      </w:r>
      <w:r w:rsidR="00804527">
        <w:rPr>
          <w:rFonts w:ascii="Arial" w:hAnsi="Arial" w:cs="Arial"/>
          <w:sz w:val="22"/>
          <w:szCs w:val="22"/>
        </w:rPr>
        <w:t>ICO</w:t>
      </w:r>
      <w:r w:rsidRPr="00804527">
        <w:rPr>
          <w:rFonts w:ascii="Arial" w:hAnsi="Arial" w:cs="Arial"/>
          <w:sz w:val="22"/>
          <w:szCs w:val="22"/>
        </w:rPr>
        <w:t xml:space="preserve"> within 72 hours of </w:t>
      </w:r>
      <w:r w:rsidR="00804527">
        <w:rPr>
          <w:rFonts w:ascii="Arial" w:hAnsi="Arial" w:cs="Arial"/>
          <w:sz w:val="22"/>
          <w:szCs w:val="22"/>
        </w:rPr>
        <w:t xml:space="preserve">the event </w:t>
      </w:r>
      <w:r w:rsidRPr="00804527">
        <w:rPr>
          <w:rFonts w:ascii="Arial" w:hAnsi="Arial" w:cs="Arial"/>
          <w:sz w:val="22"/>
          <w:szCs w:val="22"/>
        </w:rPr>
        <w:t xml:space="preserve">discovery. The organisation will record all data breaches regardless of their effect. </w:t>
      </w:r>
      <w:hyperlink w:anchor="Appendix2" w:history="1">
        <w:r w:rsidRPr="00804527">
          <w:rPr>
            <w:rStyle w:val="Hyperlink"/>
            <w:rFonts w:ascii="Arial" w:hAnsi="Arial" w:cs="Arial"/>
            <w:sz w:val="22"/>
            <w:szCs w:val="22"/>
          </w:rPr>
          <w:t>Appendix 2</w:t>
        </w:r>
      </w:hyperlink>
    </w:p>
    <w:p w14:paraId="4ABEBA61" w14:textId="661278A6" w:rsidR="00AC095B" w:rsidRPr="0001639E" w:rsidRDefault="00AC095B" w:rsidP="00AC095B">
      <w:pPr>
        <w:pStyle w:val="NormalWeb"/>
        <w:rPr>
          <w:rFonts w:ascii="Arial" w:hAnsi="Arial" w:cs="Arial"/>
          <w:sz w:val="22"/>
          <w:szCs w:val="22"/>
        </w:rPr>
      </w:pPr>
      <w:r w:rsidRPr="33524FD7">
        <w:rPr>
          <w:rFonts w:ascii="Arial" w:hAnsi="Arial" w:cs="Arial"/>
          <w:sz w:val="22"/>
          <w:szCs w:val="22"/>
        </w:rPr>
        <w:lastRenderedPageBreak/>
        <w:t xml:space="preserve">If the breach is likely to result in </w:t>
      </w:r>
      <w:r w:rsidR="32211350" w:rsidRPr="33524FD7">
        <w:rPr>
          <w:rFonts w:ascii="Arial" w:hAnsi="Arial" w:cs="Arial"/>
          <w:sz w:val="22"/>
          <w:szCs w:val="22"/>
        </w:rPr>
        <w:t>a considerable risk</w:t>
      </w:r>
      <w:r w:rsidRPr="33524FD7">
        <w:rPr>
          <w:rFonts w:ascii="Arial" w:hAnsi="Arial" w:cs="Arial"/>
          <w:sz w:val="22"/>
          <w:szCs w:val="22"/>
        </w:rPr>
        <w:t xml:space="preserve"> to the rights and freedoms of individuals, it will tell affected individuals that there has been a breach and provide them with information about its likely consequences and the mitigation measures it has taken.]</w:t>
      </w:r>
    </w:p>
    <w:p w14:paraId="1201054E" w14:textId="77777777" w:rsidR="00AC095B" w:rsidRDefault="00AC095B" w:rsidP="00AC095B">
      <w:pPr>
        <w:pStyle w:val="NormalWeb"/>
        <w:rPr>
          <w:rFonts w:ascii="Arial" w:hAnsi="Arial" w:cs="Arial"/>
        </w:rPr>
      </w:pPr>
      <w:r>
        <w:rPr>
          <w:rFonts w:ascii="Arial" w:hAnsi="Arial" w:cs="Arial"/>
          <w:b/>
          <w:bCs/>
        </w:rPr>
        <w:t>International data transfers</w:t>
      </w:r>
    </w:p>
    <w:p w14:paraId="4C353171" w14:textId="220351E4" w:rsidR="00AC095B" w:rsidRPr="0001639E" w:rsidRDefault="00AC095B" w:rsidP="00AC095B">
      <w:pPr>
        <w:pStyle w:val="NormalWeb"/>
        <w:rPr>
          <w:rFonts w:ascii="Arial" w:hAnsi="Arial" w:cs="Arial"/>
          <w:sz w:val="22"/>
          <w:szCs w:val="22"/>
        </w:rPr>
      </w:pPr>
      <w:r w:rsidRPr="0001639E">
        <w:rPr>
          <w:rFonts w:ascii="Arial" w:hAnsi="Arial" w:cs="Arial"/>
          <w:sz w:val="22"/>
          <w:szCs w:val="22"/>
        </w:rPr>
        <w:t xml:space="preserve">The organisation will not transfer personal data to countries outside the </w:t>
      </w:r>
      <w:r w:rsidR="0001639E" w:rsidRPr="0001639E">
        <w:rPr>
          <w:rFonts w:ascii="Arial" w:hAnsi="Arial" w:cs="Arial"/>
          <w:sz w:val="22"/>
          <w:szCs w:val="22"/>
        </w:rPr>
        <w:t>EU/</w:t>
      </w:r>
      <w:r w:rsidRPr="0001639E">
        <w:rPr>
          <w:rFonts w:ascii="Arial" w:hAnsi="Arial" w:cs="Arial"/>
          <w:sz w:val="22"/>
          <w:szCs w:val="22"/>
        </w:rPr>
        <w:t>EEA.</w:t>
      </w:r>
      <w:r w:rsidR="00AF33DF">
        <w:rPr>
          <w:rFonts w:ascii="Arial" w:hAnsi="Arial" w:cs="Arial"/>
          <w:sz w:val="22"/>
          <w:szCs w:val="22"/>
        </w:rPr>
        <w:t xml:space="preserve">  We ensure that we meet the UK adequacy regulations in this </w:t>
      </w:r>
      <w:proofErr w:type="gramStart"/>
      <w:r w:rsidR="00AF33DF">
        <w:rPr>
          <w:rFonts w:ascii="Arial" w:hAnsi="Arial" w:cs="Arial"/>
          <w:sz w:val="22"/>
          <w:szCs w:val="22"/>
        </w:rPr>
        <w:t>respect, and</w:t>
      </w:r>
      <w:proofErr w:type="gramEnd"/>
      <w:r w:rsidR="00AF33DF">
        <w:rPr>
          <w:rFonts w:ascii="Arial" w:hAnsi="Arial" w:cs="Arial"/>
          <w:sz w:val="22"/>
          <w:szCs w:val="22"/>
        </w:rPr>
        <w:t xml:space="preserve"> expect all our suppliers to apply equal due diligence to protect our data.</w:t>
      </w:r>
    </w:p>
    <w:p w14:paraId="416620F9" w14:textId="2FF79ED3" w:rsidR="00AC095B" w:rsidRPr="0001639E" w:rsidRDefault="00AC095B" w:rsidP="0001639E">
      <w:pPr>
        <w:spacing w:after="0"/>
        <w:ind w:left="0" w:firstLine="0"/>
        <w:rPr>
          <w:rFonts w:eastAsiaTheme="minorEastAsia"/>
          <w:b/>
          <w:bCs/>
          <w:sz w:val="24"/>
          <w:lang w:eastAsia="en-GB"/>
        </w:rPr>
      </w:pPr>
      <w:r>
        <w:rPr>
          <w:b/>
          <w:bCs/>
        </w:rPr>
        <w:t>Individual responsibilities of our data processors and controllers</w:t>
      </w:r>
    </w:p>
    <w:p w14:paraId="189732C5" w14:textId="32351CBE" w:rsidR="00AC095B" w:rsidRPr="0001639E" w:rsidRDefault="00AC095B" w:rsidP="33BE6F6C">
      <w:pPr>
        <w:pStyle w:val="NormalWeb"/>
        <w:rPr>
          <w:rFonts w:ascii="Arial" w:hAnsi="Arial" w:cs="Arial"/>
          <w:sz w:val="22"/>
          <w:szCs w:val="22"/>
        </w:rPr>
      </w:pPr>
      <w:r w:rsidRPr="33BE6F6C">
        <w:rPr>
          <w:rFonts w:ascii="Arial" w:hAnsi="Arial" w:cs="Arial"/>
          <w:sz w:val="22"/>
          <w:szCs w:val="22"/>
        </w:rPr>
        <w:t xml:space="preserve">All employees of the organisation have a corporate responsibility to ensure personal data is kept up to date and accurate. All employees are obliged to adhere to our policies for ensuring that data is kept up to </w:t>
      </w:r>
      <w:r w:rsidR="5AB54545" w:rsidRPr="33BE6F6C">
        <w:rPr>
          <w:rFonts w:ascii="Arial" w:hAnsi="Arial" w:cs="Arial"/>
          <w:sz w:val="22"/>
          <w:szCs w:val="22"/>
        </w:rPr>
        <w:t>date and</w:t>
      </w:r>
      <w:r w:rsidRPr="33BE6F6C">
        <w:rPr>
          <w:rFonts w:ascii="Arial" w:hAnsi="Arial" w:cs="Arial"/>
          <w:sz w:val="22"/>
          <w:szCs w:val="22"/>
        </w:rPr>
        <w:t xml:space="preserve"> reporting this in a timely manner.</w:t>
      </w:r>
    </w:p>
    <w:p w14:paraId="13682F7A" w14:textId="57273667" w:rsidR="00AC095B" w:rsidRPr="0001639E" w:rsidRDefault="00AC095B" w:rsidP="00AC095B">
      <w:pPr>
        <w:pStyle w:val="NormalWeb"/>
        <w:rPr>
          <w:rFonts w:ascii="Arial" w:hAnsi="Arial" w:cs="Arial"/>
          <w:sz w:val="22"/>
          <w:szCs w:val="22"/>
        </w:rPr>
      </w:pPr>
      <w:r w:rsidRPr="33524FD7">
        <w:rPr>
          <w:rFonts w:ascii="Arial" w:hAnsi="Arial" w:cs="Arial"/>
          <w:sz w:val="22"/>
          <w:szCs w:val="22"/>
        </w:rPr>
        <w:t>Employees may have access to the personal data of other individuals in the course engagement with us</w:t>
      </w:r>
      <w:r w:rsidR="33C15D1D" w:rsidRPr="33524FD7">
        <w:rPr>
          <w:rFonts w:ascii="Arial" w:hAnsi="Arial" w:cs="Arial"/>
          <w:sz w:val="22"/>
          <w:szCs w:val="22"/>
        </w:rPr>
        <w:t xml:space="preserve">. </w:t>
      </w:r>
      <w:r w:rsidRPr="33524FD7">
        <w:rPr>
          <w:rFonts w:ascii="Arial" w:hAnsi="Arial" w:cs="Arial"/>
          <w:sz w:val="22"/>
          <w:szCs w:val="22"/>
        </w:rPr>
        <w:t xml:space="preserve">Where this is the case, all staff must ensure </w:t>
      </w:r>
      <w:r w:rsidR="6C748500" w:rsidRPr="33524FD7">
        <w:rPr>
          <w:rFonts w:ascii="Arial" w:hAnsi="Arial" w:cs="Arial"/>
          <w:sz w:val="22"/>
          <w:szCs w:val="22"/>
        </w:rPr>
        <w:t>they</w:t>
      </w:r>
      <w:r w:rsidRPr="33524FD7">
        <w:rPr>
          <w:rFonts w:ascii="Arial" w:hAnsi="Arial" w:cs="Arial"/>
          <w:sz w:val="22"/>
          <w:szCs w:val="22"/>
        </w:rPr>
        <w:t xml:space="preserve"> undertake all training requirements and security to protect our assets and that of living individuals</w:t>
      </w:r>
      <w:r w:rsidR="5294A2CF" w:rsidRPr="33524FD7">
        <w:rPr>
          <w:rFonts w:ascii="Arial" w:hAnsi="Arial" w:cs="Arial"/>
          <w:sz w:val="22"/>
          <w:szCs w:val="22"/>
        </w:rPr>
        <w:t xml:space="preserve">. </w:t>
      </w:r>
      <w:r w:rsidRPr="33524FD7">
        <w:rPr>
          <w:rFonts w:ascii="Arial" w:hAnsi="Arial" w:cs="Arial"/>
          <w:sz w:val="22"/>
          <w:szCs w:val="22"/>
        </w:rPr>
        <w:t>This includes, but is not limited to:</w:t>
      </w:r>
    </w:p>
    <w:p w14:paraId="1385F119" w14:textId="77777777" w:rsidR="00AC095B" w:rsidRPr="0001639E" w:rsidRDefault="00AC095B" w:rsidP="00AC095B">
      <w:pPr>
        <w:numPr>
          <w:ilvl w:val="0"/>
          <w:numId w:val="32"/>
        </w:numPr>
        <w:spacing w:before="100" w:beforeAutospacing="1" w:after="100" w:afterAutospacing="1"/>
        <w:rPr>
          <w:szCs w:val="22"/>
        </w:rPr>
      </w:pPr>
      <w:r w:rsidRPr="0001639E">
        <w:rPr>
          <w:szCs w:val="22"/>
        </w:rPr>
        <w:t>to access only data that they have authority to access and only for authorised purposes;</w:t>
      </w:r>
    </w:p>
    <w:p w14:paraId="147EFE5D" w14:textId="77777777" w:rsidR="00AC095B" w:rsidRPr="0001639E" w:rsidRDefault="00AC095B" w:rsidP="00AC095B">
      <w:pPr>
        <w:numPr>
          <w:ilvl w:val="0"/>
          <w:numId w:val="32"/>
        </w:numPr>
        <w:spacing w:before="100" w:beforeAutospacing="1" w:after="100" w:afterAutospacing="1"/>
        <w:rPr>
          <w:szCs w:val="22"/>
        </w:rPr>
      </w:pPr>
      <w:r w:rsidRPr="0001639E">
        <w:rPr>
          <w:szCs w:val="22"/>
        </w:rPr>
        <w:t>not to disclose data except to individuals (whether inside or outside the organisation) who have appropriate authorisation;</w:t>
      </w:r>
    </w:p>
    <w:p w14:paraId="66F0E4B0" w14:textId="77777777" w:rsidR="00AC095B" w:rsidRPr="0001639E" w:rsidRDefault="00AC095B" w:rsidP="00AC095B">
      <w:pPr>
        <w:numPr>
          <w:ilvl w:val="0"/>
          <w:numId w:val="32"/>
        </w:numPr>
        <w:spacing w:before="100" w:beforeAutospacing="1" w:after="100" w:afterAutospacing="1"/>
        <w:rPr>
          <w:szCs w:val="22"/>
        </w:rPr>
      </w:pPr>
      <w:r w:rsidRPr="0001639E">
        <w:rPr>
          <w:szCs w:val="22"/>
        </w:rPr>
        <w:t>to keep data secure (for example by complying with rules on access to premises, computer access, including password protection, and secure file storage and destruction);</w:t>
      </w:r>
    </w:p>
    <w:p w14:paraId="428228E7" w14:textId="77777777" w:rsidR="00AC095B" w:rsidRPr="0001639E" w:rsidRDefault="00AC095B" w:rsidP="00AC095B">
      <w:pPr>
        <w:numPr>
          <w:ilvl w:val="0"/>
          <w:numId w:val="32"/>
        </w:numPr>
        <w:spacing w:before="100" w:beforeAutospacing="1" w:after="100" w:afterAutospacing="1"/>
        <w:rPr>
          <w:szCs w:val="22"/>
        </w:rPr>
      </w:pPr>
      <w:r w:rsidRPr="0001639E">
        <w:rPr>
          <w:szCs w:val="22"/>
        </w:rPr>
        <w:t>not to remove personal data, or devices containing or that can be used to access personal data, from the organisation's premises without adopting appropriate security measures (such as encryption or password protection) to secure the data and the device;</w:t>
      </w:r>
    </w:p>
    <w:p w14:paraId="1667EE27" w14:textId="77777777" w:rsidR="00AC095B" w:rsidRPr="0001639E" w:rsidRDefault="00AC095B" w:rsidP="00AC095B">
      <w:pPr>
        <w:numPr>
          <w:ilvl w:val="0"/>
          <w:numId w:val="32"/>
        </w:numPr>
        <w:spacing w:before="100" w:beforeAutospacing="1" w:after="100" w:afterAutospacing="1"/>
        <w:rPr>
          <w:szCs w:val="22"/>
        </w:rPr>
      </w:pPr>
      <w:r w:rsidRPr="0001639E">
        <w:rPr>
          <w:szCs w:val="22"/>
        </w:rPr>
        <w:t>not to store personal data on local drives or on personal devices that are used for work purposes; and</w:t>
      </w:r>
    </w:p>
    <w:p w14:paraId="2C28058B" w14:textId="25FC1DA7" w:rsidR="00AC095B" w:rsidRPr="0001639E" w:rsidRDefault="00AC095B" w:rsidP="00AC095B">
      <w:pPr>
        <w:numPr>
          <w:ilvl w:val="0"/>
          <w:numId w:val="32"/>
        </w:numPr>
        <w:spacing w:before="100" w:beforeAutospacing="1" w:after="100" w:afterAutospacing="1"/>
        <w:rPr>
          <w:szCs w:val="22"/>
        </w:rPr>
      </w:pPr>
      <w:r w:rsidRPr="0001639E">
        <w:rPr>
          <w:szCs w:val="22"/>
        </w:rPr>
        <w:t>to report data breaches of which they become aware to the data protection officer immediately.</w:t>
      </w:r>
    </w:p>
    <w:p w14:paraId="166961E4" w14:textId="77777777" w:rsidR="00AC095B" w:rsidRPr="0001639E" w:rsidRDefault="00AC095B" w:rsidP="33BE6F6C">
      <w:pPr>
        <w:pStyle w:val="NormalWeb"/>
        <w:rPr>
          <w:rFonts w:ascii="Arial" w:hAnsi="Arial" w:cs="Arial"/>
          <w:sz w:val="22"/>
          <w:szCs w:val="22"/>
        </w:rPr>
      </w:pPr>
      <w:r w:rsidRPr="33BE6F6C">
        <w:rPr>
          <w:rFonts w:ascii="Arial" w:hAnsi="Arial" w:cs="Arial"/>
          <w:sz w:val="22"/>
          <w:szCs w:val="22"/>
        </w:rPr>
        <w:t>Failing to observe these requirements may amount to a disciplinary offence, which will be dealt with under the organisation's disciplinary procedure. Significant or deliberate breaches of this policy, such as accessing employee or customer data without authorisation or a legitimate reason to do so, may constitute gross misconduct and could lead to dismissal without notice.</w:t>
      </w:r>
    </w:p>
    <w:p w14:paraId="63DD2ABD" w14:textId="77777777" w:rsidR="00AC095B" w:rsidRDefault="00AC095B" w:rsidP="00AC095B">
      <w:pPr>
        <w:pStyle w:val="NormalWeb"/>
        <w:rPr>
          <w:rFonts w:ascii="Arial" w:hAnsi="Arial" w:cs="Arial"/>
        </w:rPr>
      </w:pPr>
      <w:r>
        <w:rPr>
          <w:rFonts w:ascii="Arial" w:hAnsi="Arial" w:cs="Arial"/>
          <w:b/>
          <w:bCs/>
        </w:rPr>
        <w:t>Training</w:t>
      </w:r>
    </w:p>
    <w:p w14:paraId="36BD765E" w14:textId="69A7F44B" w:rsidR="00AC095B" w:rsidRPr="0001639E" w:rsidRDefault="00AC095B" w:rsidP="00AC095B">
      <w:pPr>
        <w:pStyle w:val="NormalWeb"/>
        <w:rPr>
          <w:rFonts w:ascii="Arial" w:hAnsi="Arial" w:cs="Arial"/>
          <w:sz w:val="22"/>
          <w:szCs w:val="22"/>
        </w:rPr>
      </w:pPr>
      <w:r w:rsidRPr="0001639E">
        <w:rPr>
          <w:rFonts w:ascii="Arial" w:hAnsi="Arial" w:cs="Arial"/>
          <w:sz w:val="22"/>
          <w:szCs w:val="22"/>
        </w:rPr>
        <w:t>The organisation will provide training to all individuals about their data protection responsibilities as part of the induction process, and at regular intervals thereafter.</w:t>
      </w:r>
    </w:p>
    <w:p w14:paraId="728DDAEA" w14:textId="4AC6D5C8" w:rsidR="00AC095B" w:rsidRPr="0001639E" w:rsidRDefault="00AC095B" w:rsidP="33BE6F6C">
      <w:pPr>
        <w:pStyle w:val="NormalWeb"/>
        <w:rPr>
          <w:rFonts w:ascii="Arial" w:hAnsi="Arial" w:cs="Arial"/>
          <w:sz w:val="22"/>
          <w:szCs w:val="22"/>
        </w:rPr>
      </w:pPr>
      <w:r w:rsidRPr="33BE6F6C">
        <w:rPr>
          <w:rFonts w:ascii="Arial" w:hAnsi="Arial" w:cs="Arial"/>
          <w:sz w:val="22"/>
          <w:szCs w:val="22"/>
        </w:rPr>
        <w:t>Individuals whose roles require regular access to personal data, or who are responsible for implementing this policy or responding to subject access requests under this policy, will receive additional training to help them understand their duties and how to comply with them.</w:t>
      </w:r>
      <w:r w:rsidR="00AF33DF">
        <w:rPr>
          <w:rFonts w:ascii="Arial" w:hAnsi="Arial" w:cs="Arial"/>
          <w:sz w:val="22"/>
          <w:szCs w:val="22"/>
        </w:rPr>
        <w:t xml:space="preserve">  This will be recorded in our HR processes as evidence.</w:t>
      </w:r>
    </w:p>
    <w:p w14:paraId="3794975D" w14:textId="77777777" w:rsidR="00AC095B" w:rsidRDefault="00AC095B">
      <w:pPr>
        <w:spacing w:after="0"/>
        <w:ind w:left="0" w:firstLine="0"/>
      </w:pPr>
    </w:p>
    <w:p w14:paraId="1B5BC794" w14:textId="77777777" w:rsidR="00AC095B" w:rsidRDefault="00AC095B">
      <w:pPr>
        <w:spacing w:after="0"/>
        <w:ind w:left="0" w:firstLine="0"/>
        <w:rPr>
          <w:b/>
          <w:color w:val="747E7E"/>
          <w:sz w:val="27"/>
          <w:szCs w:val="27"/>
          <w:shd w:val="clear" w:color="auto" w:fill="FFFFFF"/>
        </w:rPr>
      </w:pPr>
      <w:bookmarkStart w:id="11" w:name="_Toc94964344"/>
      <w:bookmarkStart w:id="12" w:name="_Toc94964607"/>
      <w:r>
        <w:br w:type="page"/>
      </w:r>
    </w:p>
    <w:p w14:paraId="68A0DCB4" w14:textId="2EA0378F" w:rsidR="00494C85" w:rsidRDefault="004C723D" w:rsidP="00AC095B">
      <w:pPr>
        <w:pStyle w:val="Heading1"/>
      </w:pPr>
      <w:r>
        <w:lastRenderedPageBreak/>
        <w:t>Policy d</w:t>
      </w:r>
      <w:r w:rsidR="00494C85">
        <w:t>efinitions used</w:t>
      </w:r>
      <w:bookmarkEnd w:id="11"/>
      <w:bookmarkEnd w:id="12"/>
    </w:p>
    <w:p w14:paraId="36DC8C0F" w14:textId="004B13D9" w:rsidR="00434A38" w:rsidRPr="0001639E" w:rsidRDefault="00434A38" w:rsidP="33BE6F6C">
      <w:pPr>
        <w:pStyle w:val="NormalWeb"/>
        <w:rPr>
          <w:rFonts w:ascii="Arial" w:hAnsi="Arial" w:cs="Arial"/>
          <w:sz w:val="22"/>
          <w:szCs w:val="22"/>
        </w:rPr>
      </w:pPr>
      <w:r w:rsidRPr="33BE6F6C">
        <w:rPr>
          <w:rFonts w:ascii="Arial" w:hAnsi="Arial" w:cs="Arial"/>
          <w:b/>
          <w:bCs/>
          <w:sz w:val="22"/>
          <w:szCs w:val="22"/>
        </w:rPr>
        <w:t>"Personal data"</w:t>
      </w:r>
      <w:r w:rsidRPr="33BE6F6C">
        <w:rPr>
          <w:rFonts w:ascii="Arial" w:hAnsi="Arial" w:cs="Arial"/>
          <w:sz w:val="22"/>
          <w:szCs w:val="22"/>
        </w:rPr>
        <w:t xml:space="preserve"> is any information that relates to a living individual who can be identified from such information, or by the linking of other data to make it more specific. </w:t>
      </w:r>
    </w:p>
    <w:p w14:paraId="03E134BA" w14:textId="77777777" w:rsidR="00434A38" w:rsidRPr="0001639E" w:rsidRDefault="00434A38" w:rsidP="00434A38">
      <w:pPr>
        <w:pStyle w:val="NormalWeb"/>
        <w:rPr>
          <w:rFonts w:ascii="Arial" w:hAnsi="Arial" w:cs="Arial"/>
          <w:sz w:val="22"/>
          <w:szCs w:val="22"/>
        </w:rPr>
      </w:pPr>
      <w:r w:rsidRPr="0001639E">
        <w:rPr>
          <w:rFonts w:ascii="Arial" w:hAnsi="Arial" w:cs="Arial"/>
          <w:b/>
          <w:bCs/>
          <w:sz w:val="22"/>
          <w:szCs w:val="22"/>
        </w:rPr>
        <w:t>"Special categories of personal data"</w:t>
      </w:r>
      <w:r w:rsidRPr="0001639E">
        <w:rPr>
          <w:rFonts w:ascii="Arial" w:hAnsi="Arial" w:cs="Arial"/>
          <w:sz w:val="22"/>
          <w:szCs w:val="22"/>
        </w:rPr>
        <w:t xml:space="preserve"> means information about an individual's racial or ethnic origin, political opinions, religious or philosophical beliefs, trade union membership, health, sex life or sexual orientation and genetic and biometric data.</w:t>
      </w:r>
    </w:p>
    <w:p w14:paraId="375FA3BE" w14:textId="34835D54" w:rsidR="00434A38" w:rsidRPr="0001639E" w:rsidRDefault="00434A38" w:rsidP="00434A38">
      <w:pPr>
        <w:pStyle w:val="NormalWeb"/>
        <w:rPr>
          <w:rFonts w:ascii="Arial" w:hAnsi="Arial" w:cs="Arial"/>
          <w:sz w:val="22"/>
          <w:szCs w:val="22"/>
        </w:rPr>
      </w:pPr>
      <w:r w:rsidRPr="0001639E">
        <w:rPr>
          <w:rFonts w:ascii="Arial" w:hAnsi="Arial" w:cs="Arial"/>
          <w:b/>
          <w:bCs/>
          <w:sz w:val="22"/>
          <w:szCs w:val="22"/>
        </w:rPr>
        <w:t>"Criminal records data"</w:t>
      </w:r>
      <w:r w:rsidRPr="0001639E">
        <w:rPr>
          <w:rFonts w:ascii="Arial" w:hAnsi="Arial" w:cs="Arial"/>
          <w:sz w:val="22"/>
          <w:szCs w:val="22"/>
        </w:rPr>
        <w:t xml:space="preserve"> means information about an individual's criminal convictions and offences, and information relating to criminal allegations and proceedings.</w:t>
      </w:r>
    </w:p>
    <w:p w14:paraId="49E261F6" w14:textId="4BF91B08" w:rsidR="00434A38" w:rsidRPr="0001639E" w:rsidRDefault="00E35E23" w:rsidP="00434A38">
      <w:pPr>
        <w:pStyle w:val="NormalWeb"/>
        <w:rPr>
          <w:rFonts w:ascii="Arial" w:hAnsi="Arial" w:cs="Arial"/>
          <w:b/>
          <w:bCs/>
          <w:sz w:val="22"/>
          <w:szCs w:val="22"/>
        </w:rPr>
      </w:pPr>
      <w:r w:rsidRPr="0001639E">
        <w:rPr>
          <w:rFonts w:ascii="Arial" w:hAnsi="Arial" w:cs="Arial"/>
          <w:b/>
          <w:bCs/>
          <w:sz w:val="22"/>
          <w:szCs w:val="22"/>
        </w:rPr>
        <w:t>“</w:t>
      </w:r>
      <w:r w:rsidR="00434A38" w:rsidRPr="0001639E">
        <w:rPr>
          <w:rFonts w:ascii="Arial" w:hAnsi="Arial" w:cs="Arial"/>
          <w:b/>
          <w:bCs/>
          <w:sz w:val="22"/>
          <w:szCs w:val="22"/>
        </w:rPr>
        <w:t>Lawful bases for processing</w:t>
      </w:r>
      <w:r w:rsidRPr="0001639E">
        <w:rPr>
          <w:rFonts w:ascii="Arial" w:hAnsi="Arial" w:cs="Arial"/>
          <w:b/>
          <w:bCs/>
          <w:sz w:val="22"/>
          <w:szCs w:val="22"/>
        </w:rPr>
        <w:t>”</w:t>
      </w:r>
    </w:p>
    <w:tbl>
      <w:tblPr>
        <w:tblStyle w:val="TableGrid"/>
        <w:tblW w:w="0" w:type="auto"/>
        <w:tblLook w:val="04A0" w:firstRow="1" w:lastRow="0" w:firstColumn="1" w:lastColumn="0" w:noHBand="0" w:noVBand="1"/>
      </w:tblPr>
      <w:tblGrid>
        <w:gridCol w:w="2405"/>
        <w:gridCol w:w="7223"/>
      </w:tblGrid>
      <w:tr w:rsidR="00434A38" w14:paraId="13AEB350" w14:textId="77777777" w:rsidTr="33BE6F6C">
        <w:tc>
          <w:tcPr>
            <w:tcW w:w="2405" w:type="dxa"/>
          </w:tcPr>
          <w:p w14:paraId="7C7B0FAF" w14:textId="003D64E4" w:rsidR="00434A38" w:rsidRPr="0001639E" w:rsidRDefault="00434A38" w:rsidP="00434A38">
            <w:pPr>
              <w:pStyle w:val="NormalWeb"/>
              <w:rPr>
                <w:rFonts w:ascii="Arial" w:hAnsi="Arial" w:cs="Arial"/>
                <w:sz w:val="22"/>
                <w:szCs w:val="22"/>
              </w:rPr>
            </w:pPr>
            <w:r w:rsidRPr="0001639E">
              <w:rPr>
                <w:rFonts w:ascii="Arial" w:hAnsi="Arial" w:cs="Arial"/>
                <w:sz w:val="22"/>
                <w:szCs w:val="22"/>
              </w:rPr>
              <w:t>Consent</w:t>
            </w:r>
          </w:p>
        </w:tc>
        <w:tc>
          <w:tcPr>
            <w:tcW w:w="7223" w:type="dxa"/>
          </w:tcPr>
          <w:p w14:paraId="1815B432" w14:textId="13141CDA" w:rsidR="00434A38" w:rsidRPr="0001639E" w:rsidRDefault="00434A38" w:rsidP="00434A38">
            <w:pPr>
              <w:pStyle w:val="NormalWeb"/>
              <w:rPr>
                <w:rFonts w:ascii="Arial" w:hAnsi="Arial" w:cs="Arial"/>
                <w:sz w:val="22"/>
                <w:szCs w:val="22"/>
              </w:rPr>
            </w:pPr>
            <w:r w:rsidRPr="0001639E">
              <w:rPr>
                <w:rFonts w:ascii="Arial" w:hAnsi="Arial" w:cs="Arial"/>
                <w:sz w:val="22"/>
                <w:szCs w:val="22"/>
              </w:rPr>
              <w:t>Where the individual has given clear consent for the data to be processed, and for a specific reason</w:t>
            </w:r>
          </w:p>
        </w:tc>
      </w:tr>
      <w:tr w:rsidR="00434A38" w14:paraId="3DB65819" w14:textId="77777777" w:rsidTr="33BE6F6C">
        <w:tc>
          <w:tcPr>
            <w:tcW w:w="2405" w:type="dxa"/>
          </w:tcPr>
          <w:p w14:paraId="3021D30A" w14:textId="59424204" w:rsidR="00434A38" w:rsidRPr="0001639E" w:rsidRDefault="00434A38" w:rsidP="00434A38">
            <w:pPr>
              <w:pStyle w:val="NormalWeb"/>
              <w:rPr>
                <w:rFonts w:ascii="Arial" w:hAnsi="Arial" w:cs="Arial"/>
                <w:sz w:val="22"/>
                <w:szCs w:val="22"/>
              </w:rPr>
            </w:pPr>
            <w:r w:rsidRPr="0001639E">
              <w:rPr>
                <w:rFonts w:ascii="Arial" w:hAnsi="Arial" w:cs="Arial"/>
                <w:sz w:val="22"/>
                <w:szCs w:val="22"/>
              </w:rPr>
              <w:t>Contract</w:t>
            </w:r>
          </w:p>
        </w:tc>
        <w:tc>
          <w:tcPr>
            <w:tcW w:w="7223" w:type="dxa"/>
          </w:tcPr>
          <w:p w14:paraId="1CA9EB58" w14:textId="5B9EB12D" w:rsidR="00434A38" w:rsidRPr="0001639E" w:rsidRDefault="00434A38" w:rsidP="00434A38">
            <w:pPr>
              <w:pStyle w:val="NormalWeb"/>
              <w:rPr>
                <w:rFonts w:ascii="Arial" w:hAnsi="Arial" w:cs="Arial"/>
                <w:sz w:val="22"/>
                <w:szCs w:val="22"/>
              </w:rPr>
            </w:pPr>
            <w:r w:rsidRPr="0001639E">
              <w:rPr>
                <w:rFonts w:ascii="Arial" w:hAnsi="Arial" w:cs="Arial"/>
                <w:sz w:val="22"/>
                <w:szCs w:val="22"/>
              </w:rPr>
              <w:t>Where we have a contractual obligation to process such data and you have taken steps to engage in that process before entering such contract</w:t>
            </w:r>
          </w:p>
        </w:tc>
      </w:tr>
      <w:tr w:rsidR="00434A38" w14:paraId="43C2226D" w14:textId="77777777" w:rsidTr="33BE6F6C">
        <w:tc>
          <w:tcPr>
            <w:tcW w:w="2405" w:type="dxa"/>
          </w:tcPr>
          <w:p w14:paraId="175E9BB7" w14:textId="2F495458" w:rsidR="00434A38" w:rsidRPr="0001639E" w:rsidRDefault="00434A38" w:rsidP="00434A38">
            <w:pPr>
              <w:pStyle w:val="NormalWeb"/>
              <w:rPr>
                <w:rFonts w:ascii="Arial" w:hAnsi="Arial" w:cs="Arial"/>
                <w:sz w:val="22"/>
                <w:szCs w:val="22"/>
              </w:rPr>
            </w:pPr>
            <w:r w:rsidRPr="0001639E">
              <w:rPr>
                <w:rFonts w:ascii="Arial" w:hAnsi="Arial" w:cs="Arial"/>
                <w:sz w:val="22"/>
                <w:szCs w:val="22"/>
              </w:rPr>
              <w:t>Legal obligation</w:t>
            </w:r>
          </w:p>
        </w:tc>
        <w:tc>
          <w:tcPr>
            <w:tcW w:w="7223" w:type="dxa"/>
          </w:tcPr>
          <w:p w14:paraId="23886CC9" w14:textId="520033F3" w:rsidR="00434A38" w:rsidRPr="0001639E" w:rsidRDefault="00434A38" w:rsidP="33BE6F6C">
            <w:pPr>
              <w:pStyle w:val="NormalWeb"/>
              <w:rPr>
                <w:rFonts w:ascii="Arial" w:hAnsi="Arial" w:cs="Arial"/>
                <w:sz w:val="22"/>
                <w:szCs w:val="22"/>
              </w:rPr>
            </w:pPr>
            <w:r w:rsidRPr="33BE6F6C">
              <w:rPr>
                <w:rFonts w:ascii="Arial" w:hAnsi="Arial" w:cs="Arial"/>
                <w:sz w:val="22"/>
                <w:szCs w:val="22"/>
              </w:rPr>
              <w:t>So that we comply with UK Legislation (not Contract Legislation)</w:t>
            </w:r>
          </w:p>
        </w:tc>
      </w:tr>
      <w:tr w:rsidR="00434A38" w14:paraId="18431205" w14:textId="77777777" w:rsidTr="33BE6F6C">
        <w:tc>
          <w:tcPr>
            <w:tcW w:w="2405" w:type="dxa"/>
          </w:tcPr>
          <w:p w14:paraId="09AF8D69" w14:textId="73B232D7" w:rsidR="00434A38" w:rsidRPr="0001639E" w:rsidRDefault="00434A38" w:rsidP="00434A38">
            <w:pPr>
              <w:pStyle w:val="NormalWeb"/>
              <w:rPr>
                <w:rFonts w:ascii="Arial" w:hAnsi="Arial" w:cs="Arial"/>
                <w:sz w:val="22"/>
                <w:szCs w:val="22"/>
              </w:rPr>
            </w:pPr>
            <w:r w:rsidRPr="0001639E">
              <w:rPr>
                <w:rFonts w:ascii="Arial" w:hAnsi="Arial" w:cs="Arial"/>
                <w:sz w:val="22"/>
                <w:szCs w:val="22"/>
              </w:rPr>
              <w:t>Vital interest</w:t>
            </w:r>
          </w:p>
        </w:tc>
        <w:tc>
          <w:tcPr>
            <w:tcW w:w="7223" w:type="dxa"/>
          </w:tcPr>
          <w:p w14:paraId="2ED0B882" w14:textId="20098BD0" w:rsidR="00434A38" w:rsidRPr="0001639E" w:rsidRDefault="00434A38" w:rsidP="00434A38">
            <w:pPr>
              <w:pStyle w:val="NormalWeb"/>
              <w:rPr>
                <w:rFonts w:ascii="Arial" w:hAnsi="Arial" w:cs="Arial"/>
                <w:sz w:val="22"/>
                <w:szCs w:val="22"/>
              </w:rPr>
            </w:pPr>
            <w:r w:rsidRPr="0001639E">
              <w:rPr>
                <w:rFonts w:ascii="Arial" w:hAnsi="Arial" w:cs="Arial"/>
                <w:sz w:val="22"/>
                <w:szCs w:val="22"/>
              </w:rPr>
              <w:t>Where it is to protect or safeguard the life of an individual</w:t>
            </w:r>
          </w:p>
        </w:tc>
      </w:tr>
      <w:tr w:rsidR="00434A38" w14:paraId="5D00A33B" w14:textId="77777777" w:rsidTr="33BE6F6C">
        <w:tc>
          <w:tcPr>
            <w:tcW w:w="2405" w:type="dxa"/>
          </w:tcPr>
          <w:p w14:paraId="2AF6E4DB" w14:textId="51B36CE5" w:rsidR="00434A38" w:rsidRPr="0001639E" w:rsidRDefault="00434A38" w:rsidP="00434A38">
            <w:pPr>
              <w:pStyle w:val="NormalWeb"/>
              <w:rPr>
                <w:rFonts w:ascii="Arial" w:hAnsi="Arial" w:cs="Arial"/>
                <w:sz w:val="22"/>
                <w:szCs w:val="22"/>
              </w:rPr>
            </w:pPr>
            <w:r w:rsidRPr="0001639E">
              <w:rPr>
                <w:rFonts w:ascii="Arial" w:hAnsi="Arial" w:cs="Arial"/>
                <w:sz w:val="22"/>
                <w:szCs w:val="22"/>
              </w:rPr>
              <w:t>Public task</w:t>
            </w:r>
          </w:p>
        </w:tc>
        <w:tc>
          <w:tcPr>
            <w:tcW w:w="7223" w:type="dxa"/>
          </w:tcPr>
          <w:p w14:paraId="5CB669AB" w14:textId="4AB7C2CB" w:rsidR="00434A38" w:rsidRPr="0001639E" w:rsidRDefault="6540F227" w:rsidP="33BE6F6C">
            <w:pPr>
              <w:pStyle w:val="NormalWeb"/>
              <w:rPr>
                <w:rFonts w:ascii="Arial" w:hAnsi="Arial" w:cs="Arial"/>
                <w:sz w:val="22"/>
                <w:szCs w:val="22"/>
              </w:rPr>
            </w:pPr>
            <w:r w:rsidRPr="33BE6F6C">
              <w:rPr>
                <w:rFonts w:ascii="Arial" w:hAnsi="Arial" w:cs="Arial"/>
                <w:sz w:val="22"/>
                <w:szCs w:val="22"/>
              </w:rPr>
              <w:t>To</w:t>
            </w:r>
            <w:r w:rsidR="00434A38" w:rsidRPr="33BE6F6C">
              <w:rPr>
                <w:rFonts w:ascii="Arial" w:hAnsi="Arial" w:cs="Arial"/>
                <w:sz w:val="22"/>
                <w:szCs w:val="22"/>
              </w:rPr>
              <w:t xml:space="preserve"> perform a public interest that we are required to conduct for the organisation, where the task or function has a clear basis in law.</w:t>
            </w:r>
          </w:p>
        </w:tc>
      </w:tr>
      <w:tr w:rsidR="00434A38" w14:paraId="394699E6" w14:textId="77777777" w:rsidTr="33BE6F6C">
        <w:tc>
          <w:tcPr>
            <w:tcW w:w="2405" w:type="dxa"/>
          </w:tcPr>
          <w:p w14:paraId="2D4CF3D2" w14:textId="635AA325" w:rsidR="00434A38" w:rsidRPr="0001639E" w:rsidRDefault="00434A38" w:rsidP="00434A38">
            <w:pPr>
              <w:pStyle w:val="NormalWeb"/>
              <w:rPr>
                <w:rFonts w:ascii="Arial" w:hAnsi="Arial" w:cs="Arial"/>
                <w:sz w:val="22"/>
                <w:szCs w:val="22"/>
              </w:rPr>
            </w:pPr>
            <w:r w:rsidRPr="0001639E">
              <w:rPr>
                <w:rFonts w:ascii="Arial" w:hAnsi="Arial" w:cs="Arial"/>
                <w:sz w:val="22"/>
                <w:szCs w:val="22"/>
              </w:rPr>
              <w:t>Legitimate interests</w:t>
            </w:r>
          </w:p>
        </w:tc>
        <w:tc>
          <w:tcPr>
            <w:tcW w:w="7223" w:type="dxa"/>
          </w:tcPr>
          <w:p w14:paraId="7C3285DE" w14:textId="6FA30A5C" w:rsidR="00434A38" w:rsidRPr="0001639E" w:rsidRDefault="00434A38" w:rsidP="33BE6F6C">
            <w:pPr>
              <w:pStyle w:val="NormalWeb"/>
              <w:rPr>
                <w:rFonts w:ascii="Arial" w:hAnsi="Arial" w:cs="Arial"/>
                <w:sz w:val="22"/>
                <w:szCs w:val="22"/>
              </w:rPr>
            </w:pPr>
            <w:r w:rsidRPr="33BE6F6C">
              <w:rPr>
                <w:rFonts w:ascii="Arial" w:hAnsi="Arial" w:cs="Arial"/>
                <w:sz w:val="22"/>
                <w:szCs w:val="22"/>
              </w:rPr>
              <w:t xml:space="preserve">Where we have genuine need to process such data to maintain business </w:t>
            </w:r>
            <w:r w:rsidR="00E35E23" w:rsidRPr="33BE6F6C">
              <w:rPr>
                <w:rFonts w:ascii="Arial" w:hAnsi="Arial" w:cs="Arial"/>
                <w:sz w:val="22"/>
                <w:szCs w:val="22"/>
              </w:rPr>
              <w:t>processes and functionality of the organisation</w:t>
            </w:r>
            <w:r w:rsidR="0D32B9B8" w:rsidRPr="33BE6F6C">
              <w:rPr>
                <w:rFonts w:ascii="Arial" w:hAnsi="Arial" w:cs="Arial"/>
                <w:sz w:val="22"/>
                <w:szCs w:val="22"/>
              </w:rPr>
              <w:t xml:space="preserve">. </w:t>
            </w:r>
            <w:r w:rsidR="00E35E23" w:rsidRPr="33BE6F6C">
              <w:rPr>
                <w:rFonts w:ascii="Arial" w:hAnsi="Arial" w:cs="Arial"/>
                <w:sz w:val="22"/>
                <w:szCs w:val="22"/>
              </w:rPr>
              <w:t xml:space="preserve">Except where there is a good reason to protect the </w:t>
            </w:r>
            <w:r w:rsidR="5B0AE00B" w:rsidRPr="33BE6F6C">
              <w:rPr>
                <w:rFonts w:ascii="Arial" w:hAnsi="Arial" w:cs="Arial"/>
                <w:sz w:val="22"/>
                <w:szCs w:val="22"/>
              </w:rPr>
              <w:t>individual's</w:t>
            </w:r>
            <w:r w:rsidR="00E35E23" w:rsidRPr="33BE6F6C">
              <w:rPr>
                <w:rFonts w:ascii="Arial" w:hAnsi="Arial" w:cs="Arial"/>
                <w:sz w:val="22"/>
                <w:szCs w:val="22"/>
              </w:rPr>
              <w:t xml:space="preserve"> personal data.</w:t>
            </w:r>
          </w:p>
        </w:tc>
      </w:tr>
    </w:tbl>
    <w:p w14:paraId="0A01706C" w14:textId="2C9B1340" w:rsidR="00434A38" w:rsidRPr="00E35E23" w:rsidRDefault="00E35E23" w:rsidP="00434A38">
      <w:pPr>
        <w:pStyle w:val="NormalWeb"/>
        <w:rPr>
          <w:rFonts w:ascii="Arial" w:hAnsi="Arial" w:cs="Arial"/>
          <w:b/>
          <w:bCs/>
        </w:rPr>
      </w:pPr>
      <w:r w:rsidRPr="00E35E23">
        <w:rPr>
          <w:rFonts w:ascii="Arial" w:hAnsi="Arial" w:cs="Arial"/>
          <w:b/>
          <w:bCs/>
        </w:rPr>
        <w:t>“Necessity”</w:t>
      </w:r>
    </w:p>
    <w:p w14:paraId="64AA1F0D" w14:textId="45BA835C" w:rsidR="00E35E23" w:rsidRPr="0001639E" w:rsidRDefault="00E35E23" w:rsidP="00434A38">
      <w:pPr>
        <w:pStyle w:val="NormalWeb"/>
        <w:rPr>
          <w:rFonts w:ascii="Arial" w:hAnsi="Arial" w:cs="Arial"/>
          <w:sz w:val="22"/>
          <w:szCs w:val="22"/>
        </w:rPr>
      </w:pPr>
      <w:r w:rsidRPr="33524FD7">
        <w:rPr>
          <w:rFonts w:ascii="Arial" w:hAnsi="Arial" w:cs="Arial"/>
          <w:sz w:val="22"/>
          <w:szCs w:val="22"/>
        </w:rPr>
        <w:t>We will only collect and process data where there is a reason to</w:t>
      </w:r>
      <w:r w:rsidR="22FDA2DB" w:rsidRPr="33524FD7">
        <w:rPr>
          <w:rFonts w:ascii="Arial" w:hAnsi="Arial" w:cs="Arial"/>
          <w:sz w:val="22"/>
          <w:szCs w:val="22"/>
        </w:rPr>
        <w:t xml:space="preserve">. </w:t>
      </w:r>
      <w:r w:rsidRPr="33524FD7">
        <w:rPr>
          <w:rFonts w:ascii="Arial" w:hAnsi="Arial" w:cs="Arial"/>
          <w:sz w:val="22"/>
          <w:szCs w:val="22"/>
        </w:rPr>
        <w:t>It is more than a useful piece of data, or standard practice</w:t>
      </w:r>
      <w:r w:rsidR="73F28F2C" w:rsidRPr="33524FD7">
        <w:rPr>
          <w:rFonts w:ascii="Arial" w:hAnsi="Arial" w:cs="Arial"/>
          <w:sz w:val="22"/>
          <w:szCs w:val="22"/>
        </w:rPr>
        <w:t xml:space="preserve">. </w:t>
      </w:r>
      <w:r w:rsidRPr="33524FD7">
        <w:rPr>
          <w:rFonts w:ascii="Arial" w:hAnsi="Arial" w:cs="Arial"/>
          <w:sz w:val="22"/>
          <w:szCs w:val="22"/>
        </w:rPr>
        <w:t xml:space="preserve">There will be a </w:t>
      </w:r>
      <w:r w:rsidR="35502F59" w:rsidRPr="33524FD7">
        <w:rPr>
          <w:rFonts w:ascii="Arial" w:hAnsi="Arial" w:cs="Arial"/>
          <w:sz w:val="22"/>
          <w:szCs w:val="22"/>
        </w:rPr>
        <w:t>justification,</w:t>
      </w:r>
      <w:r w:rsidRPr="33524FD7">
        <w:rPr>
          <w:rFonts w:ascii="Arial" w:hAnsi="Arial" w:cs="Arial"/>
          <w:sz w:val="22"/>
          <w:szCs w:val="22"/>
        </w:rPr>
        <w:t xml:space="preserve"> and this will be available upon request.</w:t>
      </w:r>
    </w:p>
    <w:p w14:paraId="7412CCFE" w14:textId="77777777" w:rsidR="00494C85" w:rsidRDefault="00494C85">
      <w:pPr>
        <w:spacing w:after="0"/>
        <w:ind w:left="0" w:firstLine="0"/>
      </w:pPr>
    </w:p>
    <w:p w14:paraId="3B0743F4" w14:textId="77777777" w:rsidR="00AC095B" w:rsidRDefault="00AC095B">
      <w:pPr>
        <w:spacing w:after="0"/>
        <w:ind w:left="0" w:firstLine="0"/>
        <w:rPr>
          <w:b/>
          <w:color w:val="747E7E"/>
          <w:sz w:val="27"/>
          <w:szCs w:val="27"/>
          <w:shd w:val="clear" w:color="auto" w:fill="FFFFFF"/>
        </w:rPr>
      </w:pPr>
      <w:bookmarkStart w:id="13" w:name="_Toc94964345"/>
      <w:bookmarkStart w:id="14" w:name="_Toc94964608"/>
      <w:r>
        <w:br w:type="page"/>
      </w:r>
    </w:p>
    <w:p w14:paraId="798ABBE2" w14:textId="77777777" w:rsidR="0001639E" w:rsidRDefault="00494C85" w:rsidP="0001639E">
      <w:pPr>
        <w:pStyle w:val="Heading1"/>
      </w:pPr>
      <w:r>
        <w:lastRenderedPageBreak/>
        <w:t>References (Internal and External</w:t>
      </w:r>
      <w:bookmarkEnd w:id="13"/>
      <w:bookmarkEnd w:id="14"/>
      <w:r w:rsidR="0001639E">
        <w:t>)</w:t>
      </w:r>
    </w:p>
    <w:p w14:paraId="506DAB4E" w14:textId="77777777" w:rsidR="0001639E" w:rsidRDefault="0001639E" w:rsidP="0001639E">
      <w:pPr>
        <w:pStyle w:val="Heading1"/>
      </w:pPr>
    </w:p>
    <w:p w14:paraId="645A6A96" w14:textId="1A51ABA6" w:rsidR="00BC5C2A" w:rsidRDefault="00AC095B" w:rsidP="0001639E">
      <w:pPr>
        <w:pStyle w:val="Heading1"/>
      </w:pPr>
      <w:r>
        <w:t>UK GDPR Legis</w:t>
      </w:r>
      <w:r w:rsidR="0001639E">
        <w:t>l</w:t>
      </w:r>
      <w:r>
        <w:t>ation</w:t>
      </w:r>
    </w:p>
    <w:p w14:paraId="7F4223C3" w14:textId="77777777" w:rsidR="00AC095B" w:rsidRDefault="00AC095B" w:rsidP="006C38DA"/>
    <w:p w14:paraId="23FA924F" w14:textId="404D5A10" w:rsidR="00AC095B" w:rsidRDefault="00AC095B" w:rsidP="006C38DA">
      <w:r>
        <w:t xml:space="preserve">Appendix 1 </w:t>
      </w:r>
      <w:r>
        <w:tab/>
        <w:t>-</w:t>
      </w:r>
      <w:r>
        <w:tab/>
        <w:t>Subject Access Request Form</w:t>
      </w:r>
    </w:p>
    <w:p w14:paraId="1A3170A2" w14:textId="4E8D840E" w:rsidR="00AC095B" w:rsidRDefault="00AC095B" w:rsidP="006C38DA">
      <w:r>
        <w:t>Appendix 2</w:t>
      </w:r>
      <w:r>
        <w:tab/>
        <w:t>-</w:t>
      </w:r>
      <w:r>
        <w:tab/>
        <w:t>Data Breach Form</w:t>
      </w:r>
    </w:p>
    <w:p w14:paraId="52254363" w14:textId="77777777" w:rsidR="00BC5C2A" w:rsidRDefault="00BC5C2A">
      <w:pPr>
        <w:spacing w:after="0"/>
        <w:ind w:left="0" w:firstLine="0"/>
      </w:pPr>
      <w:r>
        <w:br w:type="page"/>
      </w:r>
    </w:p>
    <w:p w14:paraId="7A971F3A" w14:textId="77777777" w:rsidR="00BC5C2A" w:rsidRDefault="00BC5C2A" w:rsidP="00BC5C2A">
      <w:pPr>
        <w:pStyle w:val="NormalWeb"/>
        <w:rPr>
          <w:rFonts w:ascii="Arial" w:hAnsi="Arial" w:cs="Arial"/>
        </w:rPr>
      </w:pPr>
      <w:r>
        <w:rPr>
          <w:rFonts w:ascii="Arial" w:hAnsi="Arial" w:cs="Arial"/>
        </w:rPr>
        <w:lastRenderedPageBreak/>
        <w:t xml:space="preserve">Appendix 1 </w:t>
      </w:r>
    </w:p>
    <w:p w14:paraId="1295F45A" w14:textId="77777777" w:rsidR="00BC5C2A" w:rsidRPr="006C77CD" w:rsidRDefault="00BC5C2A" w:rsidP="00BC5C2A">
      <w:pPr>
        <w:pStyle w:val="NormalWeb"/>
        <w:jc w:val="center"/>
        <w:rPr>
          <w:rFonts w:ascii="Arial" w:hAnsi="Arial" w:cs="Arial"/>
          <w:b/>
        </w:rPr>
      </w:pPr>
      <w:r>
        <w:rPr>
          <w:rFonts w:ascii="Arial" w:hAnsi="Arial" w:cs="Arial"/>
          <w:b/>
        </w:rPr>
        <w:t>Subject Access R</w:t>
      </w:r>
      <w:r w:rsidRPr="006C77CD">
        <w:rPr>
          <w:rFonts w:ascii="Arial" w:hAnsi="Arial" w:cs="Arial"/>
          <w:b/>
        </w:rPr>
        <w:t>equest</w:t>
      </w:r>
      <w:r>
        <w:rPr>
          <w:rFonts w:ascii="Arial" w:hAnsi="Arial" w:cs="Arial"/>
          <w:b/>
        </w:rPr>
        <w:t xml:space="preserve"> Form</w:t>
      </w:r>
    </w:p>
    <w:tbl>
      <w:tblPr>
        <w:tblW w:w="0" w:type="auto"/>
        <w:tblBorders>
          <w:top w:val="single" w:sz="6" w:space="0" w:color="ABABAB"/>
          <w:left w:val="single" w:sz="6" w:space="0" w:color="ABABAB"/>
          <w:bottom w:val="single" w:sz="6" w:space="0" w:color="ABABAB"/>
          <w:right w:val="single" w:sz="6" w:space="0" w:color="ABABAB"/>
        </w:tblBorders>
        <w:tblLook w:val="04A0" w:firstRow="1" w:lastRow="0" w:firstColumn="1" w:lastColumn="0" w:noHBand="0" w:noVBand="1"/>
      </w:tblPr>
      <w:tblGrid>
        <w:gridCol w:w="9622"/>
      </w:tblGrid>
      <w:tr w:rsidR="00BC5C2A" w14:paraId="2F696FBA" w14:textId="77777777" w:rsidTr="33BE6F6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DCBD2FA" w14:textId="77777777" w:rsidR="00BC5C2A" w:rsidRDefault="00BC5C2A" w:rsidP="00AC7B4A">
            <w:r>
              <w:rPr>
                <w:b/>
                <w:bCs/>
              </w:rPr>
              <w:t>Name:</w:t>
            </w:r>
          </w:p>
        </w:tc>
      </w:tr>
      <w:tr w:rsidR="00BC5C2A" w14:paraId="6469BD37" w14:textId="77777777" w:rsidTr="33BE6F6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AF0012B" w14:textId="77777777" w:rsidR="00BC5C2A" w:rsidRDefault="00BC5C2A" w:rsidP="00AC7B4A">
            <w:r>
              <w:rPr>
                <w:b/>
                <w:bCs/>
              </w:rPr>
              <w:t>Daytime telephone number:</w:t>
            </w:r>
          </w:p>
        </w:tc>
      </w:tr>
      <w:tr w:rsidR="00BC5C2A" w14:paraId="7E63833C" w14:textId="77777777" w:rsidTr="33BE6F6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78CC4B7" w14:textId="77777777" w:rsidR="00BC5C2A" w:rsidRDefault="00BC5C2A" w:rsidP="00AC7B4A">
            <w:r>
              <w:rPr>
                <w:b/>
                <w:bCs/>
              </w:rPr>
              <w:t>Email:</w:t>
            </w:r>
          </w:p>
        </w:tc>
      </w:tr>
      <w:tr w:rsidR="00BC5C2A" w14:paraId="23275A53" w14:textId="77777777" w:rsidTr="33BE6F6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AAE7E12" w14:textId="77777777" w:rsidR="00BC5C2A" w:rsidRDefault="00BC5C2A" w:rsidP="00AC7B4A">
            <w:r>
              <w:rPr>
                <w:b/>
                <w:bCs/>
              </w:rPr>
              <w:t>Address:</w:t>
            </w:r>
          </w:p>
        </w:tc>
      </w:tr>
      <w:tr w:rsidR="00BC5C2A" w14:paraId="7C0CB071" w14:textId="77777777" w:rsidTr="33BE6F6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7C0D734" w14:textId="77777777" w:rsidR="00BC5C2A" w:rsidRDefault="00BC5C2A" w:rsidP="00AC7B4A">
            <w:r>
              <w:rPr>
                <w:b/>
                <w:bCs/>
              </w:rPr>
              <w:t>Employee number:</w:t>
            </w:r>
          </w:p>
        </w:tc>
      </w:tr>
      <w:tr w:rsidR="00BC5C2A" w14:paraId="78CCC426" w14:textId="77777777" w:rsidTr="33BE6F6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DD9D4FE" w14:textId="77777777" w:rsidR="00BC5C2A" w:rsidRDefault="00BC5C2A" w:rsidP="00AC7B4A">
            <w:r>
              <w:t>By completing this form, you are making a request under the General Data Protection Regulation (GDPR) for information held about you by the organisation that you are eligible to receive.</w:t>
            </w:r>
          </w:p>
        </w:tc>
      </w:tr>
      <w:tr w:rsidR="00BC5C2A" w14:paraId="3331D85C" w14:textId="77777777" w:rsidTr="33BE6F6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28DE8A1" w14:textId="77777777" w:rsidR="00BC5C2A" w:rsidRDefault="00BC5C2A" w:rsidP="00AC7B4A">
            <w:pPr>
              <w:pStyle w:val="NormalWeb"/>
              <w:rPr>
                <w:rFonts w:ascii="Arial" w:hAnsi="Arial" w:cs="Arial"/>
              </w:rPr>
            </w:pPr>
            <w:r>
              <w:rPr>
                <w:rFonts w:ascii="Arial" w:hAnsi="Arial" w:cs="Arial"/>
                <w:b/>
                <w:bCs/>
              </w:rPr>
              <w:t>Required information (and any relevant dates):</w:t>
            </w:r>
          </w:p>
          <w:p w14:paraId="79224805" w14:textId="77777777" w:rsidR="00BC5C2A" w:rsidRDefault="00BC5C2A" w:rsidP="00AC7B4A">
            <w:pPr>
              <w:pStyle w:val="NormalWeb"/>
              <w:rPr>
                <w:rFonts w:ascii="Arial" w:hAnsi="Arial" w:cs="Arial"/>
              </w:rPr>
            </w:pPr>
            <w:r>
              <w:rPr>
                <w:rFonts w:ascii="Arial" w:hAnsi="Arial" w:cs="Arial"/>
              </w:rPr>
              <w:t>[Example: Emails between "A" and "B" from 1 May 2017 to 6 September 2017.]</w:t>
            </w:r>
          </w:p>
        </w:tc>
      </w:tr>
      <w:tr w:rsidR="00BC5C2A" w14:paraId="18D58A11" w14:textId="77777777" w:rsidTr="33BE6F6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A4614AB" w14:textId="33EFB144" w:rsidR="00BC5C2A" w:rsidRDefault="00BC5C2A" w:rsidP="33BE6F6C">
            <w:pPr>
              <w:pStyle w:val="NormalWeb"/>
              <w:rPr>
                <w:rFonts w:ascii="Arial" w:hAnsi="Arial" w:cs="Arial"/>
              </w:rPr>
            </w:pPr>
            <w:r w:rsidRPr="33BE6F6C">
              <w:rPr>
                <w:rFonts w:ascii="Arial" w:hAnsi="Arial" w:cs="Arial"/>
              </w:rPr>
              <w:t xml:space="preserve">By signing below, you indicate that you are the individual named above. The organisation cannot accept requests regarding your personal data from anyone else, including family members. We may need to contact you </w:t>
            </w:r>
            <w:r w:rsidR="2B213DFE" w:rsidRPr="33BE6F6C">
              <w:rPr>
                <w:rFonts w:ascii="Arial" w:hAnsi="Arial" w:cs="Arial"/>
              </w:rPr>
              <w:t>to</w:t>
            </w:r>
            <w:r w:rsidRPr="33BE6F6C">
              <w:rPr>
                <w:rFonts w:ascii="Arial" w:hAnsi="Arial" w:cs="Arial"/>
              </w:rPr>
              <w:t xml:space="preserve"> further </w:t>
            </w:r>
            <w:r w:rsidR="04114AF8" w:rsidRPr="33BE6F6C">
              <w:rPr>
                <w:rFonts w:ascii="Arial" w:hAnsi="Arial" w:cs="Arial"/>
              </w:rPr>
              <w:t>identify</w:t>
            </w:r>
            <w:r w:rsidRPr="33BE6F6C">
              <w:rPr>
                <w:rFonts w:ascii="Arial" w:hAnsi="Arial" w:cs="Arial"/>
              </w:rPr>
              <w:t xml:space="preserve"> information before responding to your request. You warrant that you are the individual named and will fully indemnify us for all losses, </w:t>
            </w:r>
            <w:r w:rsidR="44C3CC4A" w:rsidRPr="33BE6F6C">
              <w:rPr>
                <w:rFonts w:ascii="Arial" w:hAnsi="Arial" w:cs="Arial"/>
              </w:rPr>
              <w:t>cost,</w:t>
            </w:r>
            <w:r w:rsidRPr="33BE6F6C">
              <w:rPr>
                <w:rFonts w:ascii="Arial" w:hAnsi="Arial" w:cs="Arial"/>
              </w:rPr>
              <w:t xml:space="preserve"> and expenses if you are not.</w:t>
            </w:r>
          </w:p>
          <w:p w14:paraId="0D93B665" w14:textId="77777777" w:rsidR="00BC5C2A" w:rsidRDefault="00BC5C2A" w:rsidP="00AC7B4A">
            <w:pPr>
              <w:pStyle w:val="NormalWeb"/>
              <w:rPr>
                <w:rFonts w:ascii="Arial" w:hAnsi="Arial" w:cs="Arial"/>
              </w:rPr>
            </w:pPr>
            <w:r>
              <w:rPr>
                <w:rFonts w:ascii="Arial" w:hAnsi="Arial" w:cs="Arial"/>
              </w:rPr>
              <w:t>Please return this form to [name of individual/the HR department].</w:t>
            </w:r>
          </w:p>
          <w:p w14:paraId="76C90519" w14:textId="77777777" w:rsidR="00BC5C2A" w:rsidRDefault="00BC5C2A" w:rsidP="00AC7B4A">
            <w:pPr>
              <w:pStyle w:val="NormalWeb"/>
              <w:rPr>
                <w:rFonts w:ascii="Arial" w:hAnsi="Arial" w:cs="Arial"/>
              </w:rPr>
            </w:pPr>
            <w:r>
              <w:rPr>
                <w:rFonts w:ascii="Arial" w:hAnsi="Arial" w:cs="Arial"/>
              </w:rPr>
              <w:t>Please allow [28] days for a reply.</w:t>
            </w:r>
          </w:p>
        </w:tc>
      </w:tr>
      <w:tr w:rsidR="00BC5C2A" w14:paraId="53AB6644" w14:textId="77777777" w:rsidTr="33BE6F6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31E7CED" w14:textId="77777777" w:rsidR="00BC5C2A" w:rsidRDefault="00BC5C2A" w:rsidP="00AC7B4A">
            <w:r>
              <w:rPr>
                <w:b/>
                <w:bCs/>
              </w:rPr>
              <w:t>Data subject's signature:</w:t>
            </w:r>
          </w:p>
        </w:tc>
      </w:tr>
      <w:tr w:rsidR="00BC5C2A" w14:paraId="3336A5AC" w14:textId="77777777" w:rsidTr="33BE6F6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17F1432" w14:textId="77777777" w:rsidR="00BC5C2A" w:rsidRDefault="00BC5C2A" w:rsidP="00AC7B4A">
            <w:r>
              <w:rPr>
                <w:b/>
                <w:bCs/>
              </w:rPr>
              <w:t>Date:</w:t>
            </w:r>
          </w:p>
        </w:tc>
      </w:tr>
    </w:tbl>
    <w:p w14:paraId="527E735A" w14:textId="77777777" w:rsidR="00BC5C2A" w:rsidRDefault="00BC5C2A" w:rsidP="00BC5C2A">
      <w:pPr>
        <w:pStyle w:val="NormalWeb"/>
        <w:rPr>
          <w:rFonts w:ascii="Arial" w:hAnsi="Arial" w:cs="Arial"/>
        </w:rPr>
      </w:pPr>
    </w:p>
    <w:p w14:paraId="5BC1D312" w14:textId="240D47BF" w:rsidR="00BC5C2A" w:rsidRDefault="00BC5C2A">
      <w:pPr>
        <w:spacing w:after="0"/>
        <w:ind w:left="0" w:firstLine="0"/>
      </w:pPr>
      <w:r>
        <w:br w:type="page"/>
      </w:r>
    </w:p>
    <w:p w14:paraId="31BE473E" w14:textId="77777777" w:rsidR="00BC5C2A" w:rsidRDefault="00BC5C2A" w:rsidP="00BC5C2A">
      <w:pPr>
        <w:pStyle w:val="NormalWeb"/>
        <w:rPr>
          <w:rFonts w:ascii="Arial" w:hAnsi="Arial" w:cs="Arial"/>
        </w:rPr>
      </w:pPr>
      <w:bookmarkStart w:id="15" w:name="Appendix2"/>
      <w:r>
        <w:rPr>
          <w:rFonts w:ascii="Arial" w:hAnsi="Arial" w:cs="Arial"/>
        </w:rPr>
        <w:lastRenderedPageBreak/>
        <w:t xml:space="preserve">Appendix 2 </w:t>
      </w:r>
    </w:p>
    <w:tbl>
      <w:tblPr>
        <w:tblStyle w:val="TableGrid"/>
        <w:tblpPr w:leftFromText="180" w:rightFromText="180" w:vertAnchor="text" w:horzAnchor="margin" w:tblpXSpec="center" w:tblpY="646"/>
        <w:tblW w:w="10598" w:type="dxa"/>
        <w:tblLook w:val="04A0" w:firstRow="1" w:lastRow="0" w:firstColumn="1" w:lastColumn="0" w:noHBand="0" w:noVBand="1"/>
      </w:tblPr>
      <w:tblGrid>
        <w:gridCol w:w="460"/>
        <w:gridCol w:w="4218"/>
        <w:gridCol w:w="5920"/>
      </w:tblGrid>
      <w:tr w:rsidR="00BC5C2A" w14:paraId="6961C1E0" w14:textId="77777777" w:rsidTr="33524FD7">
        <w:tc>
          <w:tcPr>
            <w:tcW w:w="10598" w:type="dxa"/>
            <w:gridSpan w:val="3"/>
            <w:tcBorders>
              <w:top w:val="single" w:sz="4" w:space="0" w:color="auto"/>
              <w:left w:val="single" w:sz="4" w:space="0" w:color="auto"/>
              <w:bottom w:val="single" w:sz="4" w:space="0" w:color="auto"/>
              <w:right w:val="single" w:sz="4" w:space="0" w:color="auto"/>
            </w:tcBorders>
          </w:tcPr>
          <w:bookmarkEnd w:id="15"/>
          <w:p w14:paraId="6BBFD369" w14:textId="77777777" w:rsidR="00BC5C2A" w:rsidRDefault="00BC5C2A" w:rsidP="00BC5C2A">
            <w:pPr>
              <w:spacing w:after="0"/>
              <w:rPr>
                <w:rFonts w:eastAsiaTheme="minorHAnsi"/>
              </w:rPr>
            </w:pPr>
            <w:r>
              <w:rPr>
                <w:rFonts w:eastAsiaTheme="minorHAnsi"/>
              </w:rPr>
              <w:t xml:space="preserve">Report prepared by: </w:t>
            </w:r>
          </w:p>
          <w:p w14:paraId="391E64B2" w14:textId="77777777" w:rsidR="00BC5C2A" w:rsidRDefault="00BC5C2A" w:rsidP="00BC5C2A">
            <w:pPr>
              <w:spacing w:after="0"/>
              <w:rPr>
                <w:rFonts w:eastAsiaTheme="minorHAnsi"/>
              </w:rPr>
            </w:pPr>
          </w:p>
          <w:p w14:paraId="5E09DCC0" w14:textId="77777777" w:rsidR="00BC5C2A" w:rsidRDefault="00BC5C2A" w:rsidP="00BC5C2A">
            <w:pPr>
              <w:spacing w:after="0"/>
              <w:rPr>
                <w:rFonts w:eastAsiaTheme="minorHAnsi"/>
              </w:rPr>
            </w:pPr>
            <w:r>
              <w:rPr>
                <w:rFonts w:eastAsiaTheme="minorHAnsi"/>
              </w:rPr>
              <w:t xml:space="preserve">Date: </w:t>
            </w:r>
          </w:p>
          <w:p w14:paraId="3B6694A8" w14:textId="77777777" w:rsidR="00BC5C2A" w:rsidRDefault="00BC5C2A" w:rsidP="00BC5C2A">
            <w:pPr>
              <w:spacing w:after="0"/>
              <w:rPr>
                <w:rFonts w:eastAsiaTheme="minorHAnsi"/>
              </w:rPr>
            </w:pPr>
          </w:p>
        </w:tc>
      </w:tr>
      <w:tr w:rsidR="00BC5C2A" w14:paraId="50832CAE" w14:textId="77777777" w:rsidTr="33524FD7">
        <w:tc>
          <w:tcPr>
            <w:tcW w:w="460" w:type="dxa"/>
            <w:tcBorders>
              <w:top w:val="single" w:sz="4" w:space="0" w:color="auto"/>
              <w:left w:val="single" w:sz="4" w:space="0" w:color="auto"/>
              <w:bottom w:val="single" w:sz="4" w:space="0" w:color="auto"/>
              <w:right w:val="single" w:sz="4" w:space="0" w:color="auto"/>
            </w:tcBorders>
            <w:hideMark/>
          </w:tcPr>
          <w:p w14:paraId="6657AE33" w14:textId="77777777" w:rsidR="00BC5C2A" w:rsidRDefault="00BC5C2A" w:rsidP="00BC5C2A">
            <w:pPr>
              <w:spacing w:after="0"/>
              <w:rPr>
                <w:rFonts w:eastAsiaTheme="minorHAnsi"/>
              </w:rPr>
            </w:pPr>
            <w:r>
              <w:rPr>
                <w:rFonts w:eastAsiaTheme="minorHAnsi"/>
              </w:rPr>
              <w:t>1</w:t>
            </w:r>
          </w:p>
        </w:tc>
        <w:tc>
          <w:tcPr>
            <w:tcW w:w="4218" w:type="dxa"/>
            <w:tcBorders>
              <w:top w:val="single" w:sz="4" w:space="0" w:color="auto"/>
              <w:left w:val="single" w:sz="4" w:space="0" w:color="auto"/>
              <w:bottom w:val="single" w:sz="4" w:space="0" w:color="auto"/>
              <w:right w:val="single" w:sz="4" w:space="0" w:color="auto"/>
            </w:tcBorders>
            <w:hideMark/>
          </w:tcPr>
          <w:p w14:paraId="4CC2D615" w14:textId="77777777" w:rsidR="00BC5C2A" w:rsidRPr="00BC5C2A" w:rsidRDefault="00BC5C2A" w:rsidP="00BC5C2A">
            <w:pPr>
              <w:spacing w:after="0"/>
              <w:ind w:left="-11" w:firstLine="11"/>
              <w:rPr>
                <w:rFonts w:eastAsiaTheme="minorHAnsi"/>
                <w:sz w:val="21"/>
                <w:szCs w:val="22"/>
              </w:rPr>
            </w:pPr>
            <w:r w:rsidRPr="00BC5C2A">
              <w:rPr>
                <w:rFonts w:eastAsiaTheme="minorHAnsi"/>
                <w:sz w:val="21"/>
                <w:szCs w:val="22"/>
              </w:rPr>
              <w:t>Summary of the event and circumstances.</w:t>
            </w:r>
          </w:p>
          <w:p w14:paraId="699BD19F" w14:textId="77777777" w:rsidR="00BC5C2A" w:rsidRPr="00BC5C2A" w:rsidRDefault="00BC5C2A" w:rsidP="00BC5C2A">
            <w:pPr>
              <w:spacing w:after="0"/>
              <w:ind w:left="-11" w:firstLine="11"/>
              <w:rPr>
                <w:rFonts w:eastAsiaTheme="minorHAnsi"/>
                <w:sz w:val="21"/>
                <w:szCs w:val="22"/>
              </w:rPr>
            </w:pPr>
            <w:r w:rsidRPr="00BC5C2A">
              <w:rPr>
                <w:rFonts w:eastAsiaTheme="minorHAnsi"/>
                <w:sz w:val="21"/>
                <w:szCs w:val="22"/>
              </w:rPr>
              <w:t>(What, when. who – summary of the incident)</w:t>
            </w:r>
          </w:p>
        </w:tc>
        <w:tc>
          <w:tcPr>
            <w:tcW w:w="5920" w:type="dxa"/>
            <w:tcBorders>
              <w:top w:val="single" w:sz="4" w:space="0" w:color="auto"/>
              <w:left w:val="single" w:sz="4" w:space="0" w:color="auto"/>
              <w:bottom w:val="single" w:sz="4" w:space="0" w:color="auto"/>
              <w:right w:val="single" w:sz="4" w:space="0" w:color="auto"/>
            </w:tcBorders>
          </w:tcPr>
          <w:p w14:paraId="19C5B37B" w14:textId="77777777" w:rsidR="00BC5C2A" w:rsidRDefault="00BC5C2A" w:rsidP="00BC5C2A">
            <w:pPr>
              <w:spacing w:after="0"/>
              <w:rPr>
                <w:rFonts w:eastAsiaTheme="minorHAnsi"/>
              </w:rPr>
            </w:pPr>
          </w:p>
        </w:tc>
      </w:tr>
      <w:tr w:rsidR="00BC5C2A" w14:paraId="66A77490" w14:textId="77777777" w:rsidTr="33524FD7">
        <w:tc>
          <w:tcPr>
            <w:tcW w:w="460" w:type="dxa"/>
            <w:tcBorders>
              <w:top w:val="single" w:sz="4" w:space="0" w:color="auto"/>
              <w:left w:val="single" w:sz="4" w:space="0" w:color="auto"/>
              <w:bottom w:val="single" w:sz="4" w:space="0" w:color="auto"/>
              <w:right w:val="single" w:sz="4" w:space="0" w:color="auto"/>
            </w:tcBorders>
            <w:hideMark/>
          </w:tcPr>
          <w:p w14:paraId="5355F57D" w14:textId="77777777" w:rsidR="00BC5C2A" w:rsidRDefault="00BC5C2A" w:rsidP="00BC5C2A">
            <w:pPr>
              <w:spacing w:after="0"/>
              <w:rPr>
                <w:rFonts w:eastAsiaTheme="minorHAnsi"/>
              </w:rPr>
            </w:pPr>
            <w:r>
              <w:rPr>
                <w:rFonts w:eastAsiaTheme="minorHAnsi"/>
              </w:rPr>
              <w:t>2</w:t>
            </w:r>
          </w:p>
        </w:tc>
        <w:tc>
          <w:tcPr>
            <w:tcW w:w="4218" w:type="dxa"/>
            <w:tcBorders>
              <w:top w:val="single" w:sz="4" w:space="0" w:color="auto"/>
              <w:left w:val="single" w:sz="4" w:space="0" w:color="auto"/>
              <w:bottom w:val="single" w:sz="4" w:space="0" w:color="auto"/>
              <w:right w:val="single" w:sz="4" w:space="0" w:color="auto"/>
            </w:tcBorders>
            <w:hideMark/>
          </w:tcPr>
          <w:p w14:paraId="23B793EE" w14:textId="77777777" w:rsidR="00BC5C2A" w:rsidRPr="00BC5C2A" w:rsidRDefault="00BC5C2A" w:rsidP="00BC5C2A">
            <w:pPr>
              <w:spacing w:after="0"/>
              <w:ind w:left="-11" w:firstLine="11"/>
              <w:rPr>
                <w:rFonts w:eastAsiaTheme="minorHAnsi"/>
                <w:sz w:val="21"/>
                <w:szCs w:val="22"/>
              </w:rPr>
            </w:pPr>
            <w:r w:rsidRPr="00BC5C2A">
              <w:rPr>
                <w:rFonts w:eastAsiaTheme="minorHAnsi"/>
                <w:sz w:val="21"/>
                <w:szCs w:val="22"/>
              </w:rPr>
              <w:t>Type and amount of personal data.</w:t>
            </w:r>
          </w:p>
          <w:p w14:paraId="54B2CAEE" w14:textId="77777777" w:rsidR="00BC5C2A" w:rsidRPr="00BC5C2A" w:rsidRDefault="00BC5C2A" w:rsidP="00BC5C2A">
            <w:pPr>
              <w:spacing w:after="0"/>
              <w:ind w:left="-11" w:firstLine="11"/>
              <w:rPr>
                <w:rFonts w:eastAsiaTheme="minorHAnsi"/>
                <w:sz w:val="21"/>
                <w:szCs w:val="22"/>
              </w:rPr>
            </w:pPr>
            <w:r w:rsidRPr="00BC5C2A">
              <w:rPr>
                <w:rFonts w:eastAsiaTheme="minorHAnsi"/>
                <w:sz w:val="21"/>
                <w:szCs w:val="22"/>
              </w:rPr>
              <w:t>(Name of documents or files, what type of information did they contain?)</w:t>
            </w:r>
          </w:p>
        </w:tc>
        <w:tc>
          <w:tcPr>
            <w:tcW w:w="5920" w:type="dxa"/>
            <w:tcBorders>
              <w:top w:val="single" w:sz="4" w:space="0" w:color="auto"/>
              <w:left w:val="single" w:sz="4" w:space="0" w:color="auto"/>
              <w:bottom w:val="single" w:sz="4" w:space="0" w:color="auto"/>
              <w:right w:val="single" w:sz="4" w:space="0" w:color="auto"/>
            </w:tcBorders>
          </w:tcPr>
          <w:p w14:paraId="6A1FF283" w14:textId="77777777" w:rsidR="00BC5C2A" w:rsidRDefault="00BC5C2A" w:rsidP="00BC5C2A">
            <w:pPr>
              <w:spacing w:after="0"/>
              <w:rPr>
                <w:rFonts w:eastAsiaTheme="minorHAnsi"/>
              </w:rPr>
            </w:pPr>
          </w:p>
        </w:tc>
      </w:tr>
      <w:tr w:rsidR="00BC5C2A" w14:paraId="54466F04" w14:textId="77777777" w:rsidTr="33524FD7">
        <w:tc>
          <w:tcPr>
            <w:tcW w:w="460" w:type="dxa"/>
            <w:tcBorders>
              <w:top w:val="single" w:sz="4" w:space="0" w:color="auto"/>
              <w:left w:val="single" w:sz="4" w:space="0" w:color="auto"/>
              <w:bottom w:val="single" w:sz="4" w:space="0" w:color="auto"/>
              <w:right w:val="single" w:sz="4" w:space="0" w:color="auto"/>
            </w:tcBorders>
            <w:hideMark/>
          </w:tcPr>
          <w:p w14:paraId="412FA482" w14:textId="77777777" w:rsidR="00BC5C2A" w:rsidRDefault="00BC5C2A" w:rsidP="00BC5C2A">
            <w:pPr>
              <w:spacing w:after="0"/>
              <w:rPr>
                <w:rFonts w:eastAsiaTheme="minorHAnsi"/>
              </w:rPr>
            </w:pPr>
            <w:r>
              <w:rPr>
                <w:rFonts w:eastAsiaTheme="minorHAnsi"/>
              </w:rPr>
              <w:t>3</w:t>
            </w:r>
          </w:p>
        </w:tc>
        <w:tc>
          <w:tcPr>
            <w:tcW w:w="4218" w:type="dxa"/>
            <w:tcBorders>
              <w:top w:val="single" w:sz="4" w:space="0" w:color="auto"/>
              <w:left w:val="single" w:sz="4" w:space="0" w:color="auto"/>
              <w:bottom w:val="single" w:sz="4" w:space="0" w:color="auto"/>
              <w:right w:val="single" w:sz="4" w:space="0" w:color="auto"/>
            </w:tcBorders>
            <w:hideMark/>
          </w:tcPr>
          <w:p w14:paraId="5BC6F427" w14:textId="77777777" w:rsidR="00BC5C2A" w:rsidRPr="00BC5C2A" w:rsidRDefault="00BC5C2A" w:rsidP="00BC5C2A">
            <w:pPr>
              <w:spacing w:after="0"/>
              <w:ind w:left="-11" w:firstLine="11"/>
              <w:rPr>
                <w:rFonts w:eastAsiaTheme="minorHAnsi"/>
                <w:sz w:val="21"/>
                <w:szCs w:val="22"/>
              </w:rPr>
            </w:pPr>
            <w:r w:rsidRPr="00BC5C2A">
              <w:rPr>
                <w:rFonts w:eastAsiaTheme="minorHAnsi"/>
                <w:sz w:val="21"/>
                <w:szCs w:val="22"/>
              </w:rPr>
              <w:t>Actions taken to retrieve information and respond to the breach.</w:t>
            </w:r>
          </w:p>
          <w:p w14:paraId="7A916FB4" w14:textId="77777777" w:rsidR="00BC5C2A" w:rsidRPr="00BC5C2A" w:rsidRDefault="00BC5C2A" w:rsidP="00BC5C2A">
            <w:pPr>
              <w:spacing w:after="0"/>
              <w:ind w:left="-11" w:firstLine="11"/>
              <w:rPr>
                <w:rFonts w:eastAsiaTheme="minorHAnsi"/>
                <w:sz w:val="21"/>
                <w:szCs w:val="22"/>
              </w:rPr>
            </w:pPr>
            <w:r w:rsidRPr="00BC5C2A">
              <w:rPr>
                <w:rFonts w:eastAsiaTheme="minorHAnsi"/>
                <w:sz w:val="21"/>
                <w:szCs w:val="22"/>
              </w:rPr>
              <w:t>(What has been done to retrieve data, has it been retained and has the loss been contained e.g. IT breach addressed, comms to all staff not to send emails website attacked etc?)</w:t>
            </w:r>
          </w:p>
        </w:tc>
        <w:tc>
          <w:tcPr>
            <w:tcW w:w="5920" w:type="dxa"/>
            <w:tcBorders>
              <w:top w:val="single" w:sz="4" w:space="0" w:color="auto"/>
              <w:left w:val="single" w:sz="4" w:space="0" w:color="auto"/>
              <w:bottom w:val="single" w:sz="4" w:space="0" w:color="auto"/>
              <w:right w:val="single" w:sz="4" w:space="0" w:color="auto"/>
            </w:tcBorders>
          </w:tcPr>
          <w:p w14:paraId="3877500A" w14:textId="77777777" w:rsidR="00BC5C2A" w:rsidRDefault="00BC5C2A" w:rsidP="00BC5C2A">
            <w:pPr>
              <w:spacing w:after="0"/>
              <w:rPr>
                <w:rFonts w:eastAsiaTheme="minorHAnsi"/>
              </w:rPr>
            </w:pPr>
          </w:p>
        </w:tc>
      </w:tr>
      <w:tr w:rsidR="00BC5C2A" w14:paraId="6ED38CD7" w14:textId="77777777" w:rsidTr="33524FD7">
        <w:tc>
          <w:tcPr>
            <w:tcW w:w="460" w:type="dxa"/>
            <w:tcBorders>
              <w:top w:val="single" w:sz="4" w:space="0" w:color="auto"/>
              <w:left w:val="single" w:sz="4" w:space="0" w:color="auto"/>
              <w:bottom w:val="single" w:sz="4" w:space="0" w:color="auto"/>
              <w:right w:val="single" w:sz="4" w:space="0" w:color="auto"/>
            </w:tcBorders>
            <w:hideMark/>
          </w:tcPr>
          <w:p w14:paraId="2D1DCF0F" w14:textId="77777777" w:rsidR="00BC5C2A" w:rsidRDefault="00BC5C2A" w:rsidP="00BC5C2A">
            <w:pPr>
              <w:spacing w:after="0"/>
              <w:rPr>
                <w:rFonts w:eastAsiaTheme="minorHAnsi"/>
              </w:rPr>
            </w:pPr>
            <w:r>
              <w:rPr>
                <w:rFonts w:eastAsiaTheme="minorHAnsi"/>
              </w:rPr>
              <w:t>4</w:t>
            </w:r>
          </w:p>
        </w:tc>
        <w:tc>
          <w:tcPr>
            <w:tcW w:w="4218" w:type="dxa"/>
            <w:tcBorders>
              <w:top w:val="single" w:sz="4" w:space="0" w:color="auto"/>
              <w:left w:val="single" w:sz="4" w:space="0" w:color="auto"/>
              <w:bottom w:val="single" w:sz="4" w:space="0" w:color="auto"/>
              <w:right w:val="single" w:sz="4" w:space="0" w:color="auto"/>
            </w:tcBorders>
            <w:hideMark/>
          </w:tcPr>
          <w:p w14:paraId="6B9D4DC9" w14:textId="77777777" w:rsidR="00BC5C2A" w:rsidRPr="00BC5C2A" w:rsidRDefault="00BC5C2A" w:rsidP="00BC5C2A">
            <w:pPr>
              <w:spacing w:after="0"/>
              <w:ind w:left="-11" w:firstLine="11"/>
              <w:rPr>
                <w:rFonts w:eastAsiaTheme="minorHAnsi"/>
                <w:sz w:val="21"/>
                <w:szCs w:val="22"/>
              </w:rPr>
            </w:pPr>
            <w:r w:rsidRPr="00BC5C2A">
              <w:rPr>
                <w:rFonts w:eastAsiaTheme="minorHAnsi"/>
                <w:sz w:val="21"/>
                <w:szCs w:val="22"/>
              </w:rPr>
              <w:t>Breach of procedure/policy by staff member.</w:t>
            </w:r>
          </w:p>
          <w:p w14:paraId="0CBE01F9" w14:textId="77777777" w:rsidR="00BC5C2A" w:rsidRPr="00BC5C2A" w:rsidRDefault="00BC5C2A" w:rsidP="00BC5C2A">
            <w:pPr>
              <w:spacing w:after="0"/>
              <w:ind w:left="-11" w:firstLine="11"/>
              <w:rPr>
                <w:rFonts w:eastAsiaTheme="minorHAnsi"/>
                <w:sz w:val="21"/>
                <w:szCs w:val="22"/>
              </w:rPr>
            </w:pPr>
            <w:r w:rsidRPr="00BC5C2A">
              <w:rPr>
                <w:rFonts w:eastAsiaTheme="minorHAnsi"/>
                <w:sz w:val="21"/>
                <w:szCs w:val="22"/>
              </w:rPr>
              <w:t>(Was the breach due to a breach of company policy, has the appropriate management action been taken?)</w:t>
            </w:r>
          </w:p>
        </w:tc>
        <w:tc>
          <w:tcPr>
            <w:tcW w:w="5920" w:type="dxa"/>
            <w:tcBorders>
              <w:top w:val="single" w:sz="4" w:space="0" w:color="auto"/>
              <w:left w:val="single" w:sz="4" w:space="0" w:color="auto"/>
              <w:bottom w:val="single" w:sz="4" w:space="0" w:color="auto"/>
              <w:right w:val="single" w:sz="4" w:space="0" w:color="auto"/>
            </w:tcBorders>
          </w:tcPr>
          <w:p w14:paraId="705E5AF0" w14:textId="77777777" w:rsidR="00BC5C2A" w:rsidRDefault="00BC5C2A" w:rsidP="00BC5C2A">
            <w:pPr>
              <w:spacing w:after="0"/>
              <w:rPr>
                <w:rFonts w:eastAsiaTheme="minorHAnsi"/>
              </w:rPr>
            </w:pPr>
          </w:p>
        </w:tc>
      </w:tr>
      <w:tr w:rsidR="00BC5C2A" w14:paraId="129F3559" w14:textId="77777777" w:rsidTr="33524FD7">
        <w:tc>
          <w:tcPr>
            <w:tcW w:w="460" w:type="dxa"/>
            <w:tcBorders>
              <w:top w:val="single" w:sz="4" w:space="0" w:color="auto"/>
              <w:left w:val="single" w:sz="4" w:space="0" w:color="auto"/>
              <w:bottom w:val="single" w:sz="4" w:space="0" w:color="auto"/>
              <w:right w:val="single" w:sz="4" w:space="0" w:color="auto"/>
            </w:tcBorders>
            <w:hideMark/>
          </w:tcPr>
          <w:p w14:paraId="44CF046C" w14:textId="77777777" w:rsidR="00BC5C2A" w:rsidRDefault="00BC5C2A" w:rsidP="00BC5C2A">
            <w:pPr>
              <w:spacing w:after="0"/>
              <w:rPr>
                <w:rFonts w:eastAsiaTheme="minorHAnsi"/>
              </w:rPr>
            </w:pPr>
            <w:r>
              <w:rPr>
                <w:rFonts w:eastAsiaTheme="minorHAnsi"/>
              </w:rPr>
              <w:t>5</w:t>
            </w:r>
          </w:p>
        </w:tc>
        <w:tc>
          <w:tcPr>
            <w:tcW w:w="4218" w:type="dxa"/>
            <w:tcBorders>
              <w:top w:val="single" w:sz="4" w:space="0" w:color="auto"/>
              <w:left w:val="single" w:sz="4" w:space="0" w:color="auto"/>
              <w:bottom w:val="single" w:sz="4" w:space="0" w:color="auto"/>
              <w:right w:val="single" w:sz="4" w:space="0" w:color="auto"/>
            </w:tcBorders>
            <w:hideMark/>
          </w:tcPr>
          <w:p w14:paraId="54E987DD" w14:textId="77777777" w:rsidR="00BC5C2A" w:rsidRPr="00BC5C2A" w:rsidRDefault="00BC5C2A" w:rsidP="00BC5C2A">
            <w:pPr>
              <w:spacing w:after="0"/>
              <w:ind w:left="-11" w:firstLine="11"/>
              <w:rPr>
                <w:rFonts w:eastAsiaTheme="minorHAnsi"/>
                <w:sz w:val="21"/>
                <w:szCs w:val="22"/>
              </w:rPr>
            </w:pPr>
            <w:r w:rsidRPr="00BC5C2A">
              <w:rPr>
                <w:rFonts w:eastAsiaTheme="minorHAnsi"/>
                <w:sz w:val="21"/>
                <w:szCs w:val="22"/>
              </w:rPr>
              <w:t>Details of notification to affected data subject.</w:t>
            </w:r>
          </w:p>
          <w:p w14:paraId="1E0E00F4" w14:textId="77777777" w:rsidR="00BC5C2A" w:rsidRPr="00BC5C2A" w:rsidRDefault="00BC5C2A" w:rsidP="00BC5C2A">
            <w:pPr>
              <w:spacing w:after="0"/>
              <w:ind w:left="-11" w:firstLine="11"/>
              <w:rPr>
                <w:rFonts w:eastAsiaTheme="minorHAnsi"/>
                <w:sz w:val="21"/>
                <w:szCs w:val="22"/>
              </w:rPr>
            </w:pPr>
            <w:r w:rsidRPr="00BC5C2A">
              <w:rPr>
                <w:rFonts w:eastAsiaTheme="minorHAnsi"/>
                <w:sz w:val="21"/>
                <w:szCs w:val="22"/>
              </w:rPr>
              <w:t>Has a complaint received from Data Subject?</w:t>
            </w:r>
          </w:p>
          <w:p w14:paraId="1A47580D" w14:textId="13F1C11E" w:rsidR="00BC5C2A" w:rsidRPr="00BC5C2A" w:rsidRDefault="35267E79" w:rsidP="33524FD7">
            <w:pPr>
              <w:spacing w:after="0"/>
              <w:ind w:left="-11" w:firstLine="11"/>
              <w:rPr>
                <w:rFonts w:eastAsiaTheme="minorEastAsia"/>
                <w:sz w:val="21"/>
                <w:szCs w:val="21"/>
              </w:rPr>
            </w:pPr>
            <w:r w:rsidRPr="33524FD7">
              <w:rPr>
                <w:rFonts w:eastAsiaTheme="minorEastAsia"/>
                <w:sz w:val="21"/>
                <w:szCs w:val="21"/>
              </w:rPr>
              <w:t>Have</w:t>
            </w:r>
            <w:r w:rsidR="00BC5C2A" w:rsidRPr="33524FD7">
              <w:rPr>
                <w:rFonts w:eastAsiaTheme="minorEastAsia"/>
                <w:sz w:val="21"/>
                <w:szCs w:val="21"/>
              </w:rPr>
              <w:t xml:space="preserve"> the data subjects been notified of the data breach, if not </w:t>
            </w:r>
            <w:r w:rsidR="3A6056B2" w:rsidRPr="33524FD7">
              <w:rPr>
                <w:rFonts w:eastAsiaTheme="minorEastAsia"/>
                <w:sz w:val="21"/>
                <w:szCs w:val="21"/>
              </w:rPr>
              <w:t>why</w:t>
            </w:r>
            <w:r w:rsidR="00BC5C2A" w:rsidRPr="33524FD7">
              <w:rPr>
                <w:rFonts w:eastAsiaTheme="minorEastAsia"/>
                <w:sz w:val="21"/>
                <w:szCs w:val="21"/>
              </w:rPr>
              <w:t>?</w:t>
            </w:r>
            <w:r w:rsidR="00BC5C2A">
              <w:br/>
            </w:r>
            <w:r w:rsidR="00BC5C2A" w:rsidRPr="33524FD7">
              <w:rPr>
                <w:rFonts w:eastAsiaTheme="minorEastAsia"/>
                <w:sz w:val="21"/>
                <w:szCs w:val="21"/>
              </w:rPr>
              <w:t>(What advice has been given to data subjects?)</w:t>
            </w:r>
          </w:p>
        </w:tc>
        <w:tc>
          <w:tcPr>
            <w:tcW w:w="5920" w:type="dxa"/>
            <w:tcBorders>
              <w:top w:val="single" w:sz="4" w:space="0" w:color="auto"/>
              <w:left w:val="single" w:sz="4" w:space="0" w:color="auto"/>
              <w:bottom w:val="single" w:sz="4" w:space="0" w:color="auto"/>
              <w:right w:val="single" w:sz="4" w:space="0" w:color="auto"/>
            </w:tcBorders>
          </w:tcPr>
          <w:p w14:paraId="3E09A22C" w14:textId="77777777" w:rsidR="00BC5C2A" w:rsidRDefault="00BC5C2A" w:rsidP="00BC5C2A">
            <w:pPr>
              <w:spacing w:after="0"/>
              <w:rPr>
                <w:rFonts w:eastAsiaTheme="minorHAnsi"/>
              </w:rPr>
            </w:pPr>
          </w:p>
        </w:tc>
      </w:tr>
      <w:tr w:rsidR="00BC5C2A" w14:paraId="5CD0EF8F" w14:textId="77777777" w:rsidTr="33524FD7">
        <w:tc>
          <w:tcPr>
            <w:tcW w:w="460" w:type="dxa"/>
            <w:tcBorders>
              <w:top w:val="single" w:sz="4" w:space="0" w:color="auto"/>
              <w:left w:val="single" w:sz="4" w:space="0" w:color="auto"/>
              <w:bottom w:val="single" w:sz="4" w:space="0" w:color="auto"/>
              <w:right w:val="single" w:sz="4" w:space="0" w:color="auto"/>
            </w:tcBorders>
            <w:hideMark/>
          </w:tcPr>
          <w:p w14:paraId="00CE5620" w14:textId="77777777" w:rsidR="00BC5C2A" w:rsidRDefault="00BC5C2A" w:rsidP="00BC5C2A">
            <w:pPr>
              <w:spacing w:after="0"/>
              <w:rPr>
                <w:rFonts w:eastAsiaTheme="minorHAnsi"/>
              </w:rPr>
            </w:pPr>
            <w:r>
              <w:rPr>
                <w:rFonts w:eastAsiaTheme="minorHAnsi"/>
              </w:rPr>
              <w:t>6</w:t>
            </w:r>
          </w:p>
        </w:tc>
        <w:tc>
          <w:tcPr>
            <w:tcW w:w="4218" w:type="dxa"/>
            <w:tcBorders>
              <w:top w:val="single" w:sz="4" w:space="0" w:color="auto"/>
              <w:left w:val="single" w:sz="4" w:space="0" w:color="auto"/>
              <w:bottom w:val="single" w:sz="4" w:space="0" w:color="auto"/>
              <w:right w:val="single" w:sz="4" w:space="0" w:color="auto"/>
            </w:tcBorders>
            <w:hideMark/>
          </w:tcPr>
          <w:p w14:paraId="06CAC559" w14:textId="77777777" w:rsidR="00BC5C2A" w:rsidRPr="00BC5C2A" w:rsidRDefault="00BC5C2A" w:rsidP="00BC5C2A">
            <w:pPr>
              <w:spacing w:after="0"/>
              <w:ind w:left="-11" w:firstLine="11"/>
              <w:rPr>
                <w:rFonts w:eastAsiaTheme="minorHAnsi"/>
                <w:sz w:val="21"/>
                <w:szCs w:val="22"/>
              </w:rPr>
            </w:pPr>
            <w:r w:rsidRPr="00BC5C2A">
              <w:rPr>
                <w:rFonts w:eastAsiaTheme="minorHAnsi"/>
                <w:sz w:val="21"/>
                <w:szCs w:val="22"/>
              </w:rPr>
              <w:t>Details of Data Protection training provided.</w:t>
            </w:r>
          </w:p>
          <w:p w14:paraId="2C0191E5" w14:textId="77777777" w:rsidR="00BC5C2A" w:rsidRPr="00BC5C2A" w:rsidRDefault="00BC5C2A" w:rsidP="00BC5C2A">
            <w:pPr>
              <w:spacing w:after="0"/>
              <w:ind w:left="-11" w:firstLine="11"/>
              <w:rPr>
                <w:rFonts w:eastAsiaTheme="minorHAnsi"/>
                <w:sz w:val="21"/>
                <w:szCs w:val="22"/>
              </w:rPr>
            </w:pPr>
            <w:r w:rsidRPr="00BC5C2A">
              <w:rPr>
                <w:rFonts w:eastAsiaTheme="minorHAnsi"/>
                <w:sz w:val="21"/>
                <w:szCs w:val="22"/>
              </w:rPr>
              <w:t>(Last training the staff member received, if applicable)</w:t>
            </w:r>
          </w:p>
        </w:tc>
        <w:tc>
          <w:tcPr>
            <w:tcW w:w="5920" w:type="dxa"/>
            <w:tcBorders>
              <w:top w:val="single" w:sz="4" w:space="0" w:color="auto"/>
              <w:left w:val="single" w:sz="4" w:space="0" w:color="auto"/>
              <w:bottom w:val="single" w:sz="4" w:space="0" w:color="auto"/>
              <w:right w:val="single" w:sz="4" w:space="0" w:color="auto"/>
            </w:tcBorders>
          </w:tcPr>
          <w:p w14:paraId="5346C3C3" w14:textId="77777777" w:rsidR="00BC5C2A" w:rsidRDefault="00BC5C2A" w:rsidP="00BC5C2A">
            <w:pPr>
              <w:spacing w:after="0"/>
              <w:rPr>
                <w:rFonts w:eastAsiaTheme="minorHAnsi"/>
              </w:rPr>
            </w:pPr>
          </w:p>
        </w:tc>
      </w:tr>
      <w:tr w:rsidR="00BC5C2A" w14:paraId="68AF4290" w14:textId="77777777" w:rsidTr="33524FD7">
        <w:tc>
          <w:tcPr>
            <w:tcW w:w="460" w:type="dxa"/>
            <w:tcBorders>
              <w:top w:val="single" w:sz="4" w:space="0" w:color="auto"/>
              <w:left w:val="single" w:sz="4" w:space="0" w:color="auto"/>
              <w:bottom w:val="single" w:sz="4" w:space="0" w:color="auto"/>
              <w:right w:val="single" w:sz="4" w:space="0" w:color="auto"/>
            </w:tcBorders>
            <w:hideMark/>
          </w:tcPr>
          <w:p w14:paraId="56832FB1" w14:textId="77777777" w:rsidR="00BC5C2A" w:rsidRDefault="00BC5C2A" w:rsidP="00BC5C2A">
            <w:pPr>
              <w:spacing w:after="0"/>
              <w:rPr>
                <w:rFonts w:eastAsiaTheme="minorHAnsi"/>
              </w:rPr>
            </w:pPr>
            <w:r>
              <w:rPr>
                <w:rFonts w:eastAsiaTheme="minorHAnsi"/>
              </w:rPr>
              <w:t>7</w:t>
            </w:r>
          </w:p>
        </w:tc>
        <w:tc>
          <w:tcPr>
            <w:tcW w:w="4218" w:type="dxa"/>
            <w:tcBorders>
              <w:top w:val="single" w:sz="4" w:space="0" w:color="auto"/>
              <w:left w:val="single" w:sz="4" w:space="0" w:color="auto"/>
              <w:bottom w:val="single" w:sz="4" w:space="0" w:color="auto"/>
              <w:right w:val="single" w:sz="4" w:space="0" w:color="auto"/>
            </w:tcBorders>
            <w:hideMark/>
          </w:tcPr>
          <w:p w14:paraId="01C984FA" w14:textId="77777777" w:rsidR="00BC5C2A" w:rsidRPr="00BC5C2A" w:rsidRDefault="00BC5C2A" w:rsidP="00BC5C2A">
            <w:pPr>
              <w:spacing w:after="0"/>
              <w:ind w:left="-11" w:firstLine="11"/>
              <w:rPr>
                <w:rFonts w:eastAsiaTheme="minorHAnsi"/>
                <w:sz w:val="21"/>
                <w:szCs w:val="22"/>
              </w:rPr>
            </w:pPr>
            <w:r w:rsidRPr="00BC5C2A">
              <w:rPr>
                <w:rFonts w:eastAsiaTheme="minorHAnsi"/>
                <w:sz w:val="21"/>
                <w:szCs w:val="22"/>
              </w:rPr>
              <w:t>Procedure changes to reduce risks of future data loss.</w:t>
            </w:r>
          </w:p>
          <w:p w14:paraId="2AFF1EF9" w14:textId="59288B84" w:rsidR="00BC5C2A" w:rsidRPr="00BC5C2A" w:rsidRDefault="00BC5C2A" w:rsidP="33524FD7">
            <w:pPr>
              <w:spacing w:after="0"/>
              <w:ind w:left="-11" w:firstLine="11"/>
              <w:rPr>
                <w:rFonts w:eastAsiaTheme="minorEastAsia"/>
                <w:sz w:val="21"/>
                <w:szCs w:val="21"/>
              </w:rPr>
            </w:pPr>
            <w:r w:rsidRPr="33524FD7">
              <w:rPr>
                <w:rFonts w:eastAsiaTheme="minorEastAsia"/>
                <w:sz w:val="21"/>
                <w:szCs w:val="21"/>
              </w:rPr>
              <w:t xml:space="preserve">(IT security, use of </w:t>
            </w:r>
            <w:r w:rsidR="183F934A" w:rsidRPr="33524FD7">
              <w:rPr>
                <w:rFonts w:eastAsiaTheme="minorEastAsia"/>
                <w:sz w:val="21"/>
                <w:szCs w:val="21"/>
              </w:rPr>
              <w:t>paper-based</w:t>
            </w:r>
            <w:r w:rsidRPr="33524FD7">
              <w:rPr>
                <w:rFonts w:eastAsiaTheme="minorEastAsia"/>
                <w:sz w:val="21"/>
                <w:szCs w:val="21"/>
              </w:rPr>
              <w:t xml:space="preserve"> records, memory stick use etc)</w:t>
            </w:r>
          </w:p>
        </w:tc>
        <w:tc>
          <w:tcPr>
            <w:tcW w:w="5920" w:type="dxa"/>
            <w:tcBorders>
              <w:top w:val="single" w:sz="4" w:space="0" w:color="auto"/>
              <w:left w:val="single" w:sz="4" w:space="0" w:color="auto"/>
              <w:bottom w:val="single" w:sz="4" w:space="0" w:color="auto"/>
              <w:right w:val="single" w:sz="4" w:space="0" w:color="auto"/>
            </w:tcBorders>
          </w:tcPr>
          <w:p w14:paraId="1853FA1F" w14:textId="77777777" w:rsidR="00BC5C2A" w:rsidRDefault="00BC5C2A" w:rsidP="00BC5C2A">
            <w:pPr>
              <w:spacing w:after="0"/>
              <w:rPr>
                <w:rFonts w:eastAsiaTheme="minorHAnsi"/>
              </w:rPr>
            </w:pPr>
          </w:p>
        </w:tc>
      </w:tr>
      <w:tr w:rsidR="00BC5C2A" w14:paraId="63666E39" w14:textId="77777777" w:rsidTr="33524FD7">
        <w:tc>
          <w:tcPr>
            <w:tcW w:w="460" w:type="dxa"/>
            <w:tcBorders>
              <w:top w:val="single" w:sz="4" w:space="0" w:color="auto"/>
              <w:left w:val="single" w:sz="4" w:space="0" w:color="auto"/>
              <w:bottom w:val="single" w:sz="4" w:space="0" w:color="auto"/>
              <w:right w:val="single" w:sz="4" w:space="0" w:color="auto"/>
            </w:tcBorders>
            <w:hideMark/>
          </w:tcPr>
          <w:p w14:paraId="26997D35" w14:textId="77777777" w:rsidR="00BC5C2A" w:rsidRDefault="00BC5C2A" w:rsidP="00BC5C2A">
            <w:pPr>
              <w:spacing w:after="0"/>
              <w:rPr>
                <w:rFonts w:eastAsiaTheme="minorHAnsi"/>
              </w:rPr>
            </w:pPr>
            <w:r>
              <w:rPr>
                <w:rFonts w:eastAsiaTheme="minorHAnsi"/>
              </w:rPr>
              <w:t>8</w:t>
            </w:r>
          </w:p>
        </w:tc>
        <w:tc>
          <w:tcPr>
            <w:tcW w:w="4218" w:type="dxa"/>
            <w:tcBorders>
              <w:top w:val="single" w:sz="4" w:space="0" w:color="auto"/>
              <w:left w:val="single" w:sz="4" w:space="0" w:color="auto"/>
              <w:bottom w:val="single" w:sz="4" w:space="0" w:color="auto"/>
              <w:right w:val="single" w:sz="4" w:space="0" w:color="auto"/>
            </w:tcBorders>
            <w:hideMark/>
          </w:tcPr>
          <w:p w14:paraId="69652D7F" w14:textId="77777777" w:rsidR="00BC5C2A" w:rsidRPr="00BC5C2A" w:rsidRDefault="00BC5C2A" w:rsidP="00BC5C2A">
            <w:pPr>
              <w:spacing w:after="0"/>
              <w:ind w:left="-11" w:firstLine="11"/>
              <w:rPr>
                <w:rFonts w:eastAsiaTheme="minorHAnsi"/>
                <w:sz w:val="21"/>
                <w:szCs w:val="22"/>
              </w:rPr>
            </w:pPr>
            <w:r w:rsidRPr="00BC5C2A">
              <w:rPr>
                <w:rFonts w:eastAsiaTheme="minorHAnsi"/>
                <w:sz w:val="21"/>
                <w:szCs w:val="22"/>
              </w:rPr>
              <w:t>Conclusion.</w:t>
            </w:r>
          </w:p>
          <w:p w14:paraId="698F59C5" w14:textId="77777777" w:rsidR="00BC5C2A" w:rsidRPr="00BC5C2A" w:rsidRDefault="00BC5C2A" w:rsidP="00BC5C2A">
            <w:pPr>
              <w:spacing w:after="0"/>
              <w:ind w:left="-11" w:firstLine="11"/>
              <w:rPr>
                <w:rFonts w:eastAsiaTheme="minorHAnsi"/>
                <w:sz w:val="21"/>
                <w:szCs w:val="22"/>
              </w:rPr>
            </w:pPr>
            <w:r w:rsidRPr="00BC5C2A">
              <w:rPr>
                <w:rFonts w:eastAsiaTheme="minorHAnsi"/>
                <w:sz w:val="21"/>
                <w:szCs w:val="22"/>
              </w:rPr>
              <w:t>(Serious/minor breach, likelihood of it happening again)</w:t>
            </w:r>
          </w:p>
        </w:tc>
        <w:tc>
          <w:tcPr>
            <w:tcW w:w="5920" w:type="dxa"/>
            <w:tcBorders>
              <w:top w:val="single" w:sz="4" w:space="0" w:color="auto"/>
              <w:left w:val="single" w:sz="4" w:space="0" w:color="auto"/>
              <w:bottom w:val="single" w:sz="4" w:space="0" w:color="auto"/>
              <w:right w:val="single" w:sz="4" w:space="0" w:color="auto"/>
            </w:tcBorders>
          </w:tcPr>
          <w:p w14:paraId="3B73C557" w14:textId="77777777" w:rsidR="00BC5C2A" w:rsidRDefault="00BC5C2A" w:rsidP="00BC5C2A">
            <w:pPr>
              <w:spacing w:after="0"/>
              <w:rPr>
                <w:rFonts w:eastAsiaTheme="minorHAnsi"/>
              </w:rPr>
            </w:pPr>
          </w:p>
        </w:tc>
      </w:tr>
    </w:tbl>
    <w:p w14:paraId="6B9F75D1" w14:textId="77777777" w:rsidR="00BC5C2A" w:rsidRDefault="00BC5C2A" w:rsidP="00BC5C2A">
      <w:pPr>
        <w:pStyle w:val="NormalWeb"/>
        <w:rPr>
          <w:rFonts w:ascii="Arial" w:hAnsi="Arial" w:cs="Arial"/>
          <w:b/>
        </w:rPr>
      </w:pPr>
      <w:r>
        <w:rPr>
          <w:rFonts w:ascii="Arial" w:hAnsi="Arial" w:cs="Arial"/>
        </w:rPr>
        <w:t xml:space="preserve">                                  </w:t>
      </w:r>
      <w:r>
        <w:rPr>
          <w:rFonts w:ascii="Arial" w:hAnsi="Arial" w:cs="Arial"/>
          <w:b/>
        </w:rPr>
        <w:t>GDPR Data Breach Form</w:t>
      </w:r>
    </w:p>
    <w:p w14:paraId="2C862821" w14:textId="77777777" w:rsidR="00B70E60" w:rsidRDefault="00B70E60" w:rsidP="006C38DA"/>
    <w:p w14:paraId="266BFFEC" w14:textId="452F5477" w:rsidR="00BC5C2A" w:rsidRDefault="00BC5C2A" w:rsidP="006C38DA">
      <w:r>
        <w:t xml:space="preserve">The document must be forwarded to the </w:t>
      </w:r>
      <w:r w:rsidR="0001639E">
        <w:t>Head of Compliance and Data Systems</w:t>
      </w:r>
    </w:p>
    <w:p w14:paraId="5B577EBA" w14:textId="27311D7E" w:rsidR="00BC5C2A" w:rsidRPr="00F6270D" w:rsidRDefault="00BC5C2A" w:rsidP="006C38DA">
      <w:r>
        <w:t>All casework is held within the SMT Secure area under Documents &gt; GDPR Cases.</w:t>
      </w:r>
    </w:p>
    <w:sectPr w:rsidR="00BC5C2A" w:rsidRPr="00F6270D">
      <w:headerReference w:type="default" r:id="rId12"/>
      <w:footerReference w:type="default" r:id="rId13"/>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53E0F" w14:textId="77777777" w:rsidR="0042228C" w:rsidRDefault="0042228C" w:rsidP="00727E2D">
      <w:r>
        <w:separator/>
      </w:r>
    </w:p>
  </w:endnote>
  <w:endnote w:type="continuationSeparator" w:id="0">
    <w:p w14:paraId="3E0D7164" w14:textId="77777777" w:rsidR="0042228C" w:rsidRDefault="0042228C" w:rsidP="00727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B900" w14:textId="77777777" w:rsidR="009E407B" w:rsidRPr="00727E2D" w:rsidRDefault="00727E2D" w:rsidP="00727E2D">
    <w:r w:rsidRPr="00727E2D">
      <w:t xml:space="preserve">Page </w:t>
    </w:r>
    <w:r w:rsidRPr="00727E2D">
      <w:fldChar w:fldCharType="begin"/>
    </w:r>
    <w:r w:rsidRPr="00727E2D">
      <w:instrText xml:space="preserve"> PAGE </w:instrText>
    </w:r>
    <w:r w:rsidRPr="00727E2D">
      <w:fldChar w:fldCharType="separate"/>
    </w:r>
    <w:r w:rsidRPr="00727E2D">
      <w:rPr>
        <w:noProof/>
      </w:rPr>
      <w:t>1</w:t>
    </w:r>
    <w:r w:rsidRPr="00727E2D">
      <w:fldChar w:fldCharType="end"/>
    </w:r>
    <w:r w:rsidRPr="00727E2D">
      <w:t xml:space="preserve"> of </w:t>
    </w:r>
    <w:r w:rsidRPr="00727E2D">
      <w:fldChar w:fldCharType="begin"/>
    </w:r>
    <w:r w:rsidRPr="00727E2D">
      <w:instrText xml:space="preserve"> NUMPAGES </w:instrText>
    </w:r>
    <w:r w:rsidRPr="00727E2D">
      <w:fldChar w:fldCharType="separate"/>
    </w:r>
    <w:r w:rsidRPr="00727E2D">
      <w:rPr>
        <w:noProof/>
      </w:rPr>
      <w:t>2</w:t>
    </w:r>
    <w:r w:rsidRPr="00727E2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99E28" w14:textId="77777777" w:rsidR="0042228C" w:rsidRDefault="0042228C" w:rsidP="00727E2D">
      <w:r>
        <w:separator/>
      </w:r>
    </w:p>
  </w:footnote>
  <w:footnote w:type="continuationSeparator" w:id="0">
    <w:p w14:paraId="54F5C6EF" w14:textId="77777777" w:rsidR="0042228C" w:rsidRDefault="0042228C" w:rsidP="00727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7665" w14:textId="77777777" w:rsidR="009E407B" w:rsidRPr="00F6270D" w:rsidRDefault="00585302" w:rsidP="009F5F02">
    <w:pPr>
      <w:jc w:val="right"/>
    </w:pPr>
    <w:r>
      <w:rPr>
        <w:noProof/>
      </w:rPr>
      <w:drawing>
        <wp:inline distT="0" distB="0" distL="0" distR="0" wp14:anchorId="3647E0E8" wp14:editId="7E8BE551">
          <wp:extent cx="1914525" cy="78105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78105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zpMxAkPA" int2:invalidationBookmarkName="" int2:hashCode="kv4UVae7TQCfC0" int2:id="em6YlTH3">
      <int2:state int2:value="Rejected" int2:type="AugLoop_Text_Critique"/>
    </int2:bookmark>
    <int2:bookmark int2:bookmarkName="_Int_rsReOkEG" int2:invalidationBookmarkName="" int2:hashCode="m/C6mGJeQTWOW1" int2:id="S1R5wTLe">
      <int2:state int2:value="Rejected" int2:type="AugLoop_Text_Critique"/>
    </int2:bookmark>
    <int2:bookmark int2:bookmarkName="_Int_Eem3lNHJ" int2:invalidationBookmarkName="" int2:hashCode="h0JAcRaPtd/OAy" int2:id="7qknwZLq">
      <int2:state int2:value="Rejected" int2:type="AugLoop_Text_Critique"/>
    </int2:bookmark>
    <int2:bookmark int2:bookmarkName="_Int_40bVSR2K" int2:invalidationBookmarkName="" int2:hashCode="xvcdha6qO2DbgO" int2:id="6UD2E14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263C"/>
    <w:multiLevelType w:val="multilevel"/>
    <w:tmpl w:val="2A08D06A"/>
    <w:lvl w:ilvl="0">
      <w:start w:val="8"/>
      <w:numFmt w:val="decimal"/>
      <w:lvlText w:val="%1"/>
      <w:lvlJc w:val="left"/>
      <w:pPr>
        <w:tabs>
          <w:tab w:val="num" w:pos="720"/>
        </w:tabs>
        <w:ind w:left="720" w:hanging="720"/>
      </w:pPr>
      <w:rPr>
        <w:rFonts w:hint="default"/>
      </w:rPr>
    </w:lvl>
    <w:lvl w:ilvl="1">
      <w:start w:val="1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3B255D"/>
    <w:multiLevelType w:val="multilevel"/>
    <w:tmpl w:val="2EEEE85A"/>
    <w:lvl w:ilvl="0">
      <w:start w:val="1"/>
      <w:numFmt w:val="decimal"/>
      <w:lvlText w:val="%1"/>
      <w:lvlJc w:val="left"/>
      <w:pPr>
        <w:tabs>
          <w:tab w:val="num" w:pos="2250"/>
        </w:tabs>
        <w:ind w:left="2250" w:hanging="2250"/>
      </w:pPr>
      <w:rPr>
        <w:rFonts w:hint="default"/>
      </w:rPr>
    </w:lvl>
    <w:lvl w:ilvl="1">
      <w:start w:val="1"/>
      <w:numFmt w:val="decimal"/>
      <w:lvlText w:val="%1-%2"/>
      <w:lvlJc w:val="left"/>
      <w:pPr>
        <w:tabs>
          <w:tab w:val="num" w:pos="2250"/>
        </w:tabs>
        <w:ind w:left="2250" w:hanging="2250"/>
      </w:pPr>
      <w:rPr>
        <w:rFonts w:hint="default"/>
      </w:rPr>
    </w:lvl>
    <w:lvl w:ilvl="2">
      <w:start w:val="1"/>
      <w:numFmt w:val="decimal"/>
      <w:lvlText w:val="%1-%2.%3"/>
      <w:lvlJc w:val="left"/>
      <w:pPr>
        <w:tabs>
          <w:tab w:val="num" w:pos="2250"/>
        </w:tabs>
        <w:ind w:left="2250" w:hanging="2250"/>
      </w:pPr>
      <w:rPr>
        <w:rFonts w:hint="default"/>
      </w:rPr>
    </w:lvl>
    <w:lvl w:ilvl="3">
      <w:start w:val="1"/>
      <w:numFmt w:val="decimal"/>
      <w:lvlText w:val="%1-%2.%3.%4"/>
      <w:lvlJc w:val="left"/>
      <w:pPr>
        <w:tabs>
          <w:tab w:val="num" w:pos="2250"/>
        </w:tabs>
        <w:ind w:left="2250" w:hanging="2250"/>
      </w:pPr>
      <w:rPr>
        <w:rFonts w:hint="default"/>
      </w:rPr>
    </w:lvl>
    <w:lvl w:ilvl="4">
      <w:start w:val="1"/>
      <w:numFmt w:val="decimal"/>
      <w:lvlText w:val="%1-%2.%3.%4.%5"/>
      <w:lvlJc w:val="left"/>
      <w:pPr>
        <w:tabs>
          <w:tab w:val="num" w:pos="2250"/>
        </w:tabs>
        <w:ind w:left="2250" w:hanging="2250"/>
      </w:pPr>
      <w:rPr>
        <w:rFonts w:hint="default"/>
      </w:rPr>
    </w:lvl>
    <w:lvl w:ilvl="5">
      <w:start w:val="1"/>
      <w:numFmt w:val="decimal"/>
      <w:lvlText w:val="%1-%2.%3.%4.%5.%6"/>
      <w:lvlJc w:val="left"/>
      <w:pPr>
        <w:tabs>
          <w:tab w:val="num" w:pos="2250"/>
        </w:tabs>
        <w:ind w:left="2250" w:hanging="2250"/>
      </w:pPr>
      <w:rPr>
        <w:rFonts w:hint="default"/>
      </w:rPr>
    </w:lvl>
    <w:lvl w:ilvl="6">
      <w:start w:val="1"/>
      <w:numFmt w:val="decimal"/>
      <w:lvlText w:val="%1-%2.%3.%4.%5.%6.%7"/>
      <w:lvlJc w:val="left"/>
      <w:pPr>
        <w:tabs>
          <w:tab w:val="num" w:pos="2250"/>
        </w:tabs>
        <w:ind w:left="2250" w:hanging="2250"/>
      </w:pPr>
      <w:rPr>
        <w:rFonts w:hint="default"/>
      </w:rPr>
    </w:lvl>
    <w:lvl w:ilvl="7">
      <w:start w:val="1"/>
      <w:numFmt w:val="decimal"/>
      <w:lvlText w:val="%1-%2.%3.%4.%5.%6.%7.%8"/>
      <w:lvlJc w:val="left"/>
      <w:pPr>
        <w:tabs>
          <w:tab w:val="num" w:pos="2250"/>
        </w:tabs>
        <w:ind w:left="2250" w:hanging="2250"/>
      </w:pPr>
      <w:rPr>
        <w:rFonts w:hint="default"/>
      </w:rPr>
    </w:lvl>
    <w:lvl w:ilvl="8">
      <w:start w:val="1"/>
      <w:numFmt w:val="decimal"/>
      <w:lvlText w:val="%1-%2.%3.%4.%5.%6.%7.%8.%9"/>
      <w:lvlJc w:val="left"/>
      <w:pPr>
        <w:tabs>
          <w:tab w:val="num" w:pos="2250"/>
        </w:tabs>
        <w:ind w:left="2250" w:hanging="2250"/>
      </w:pPr>
      <w:rPr>
        <w:rFonts w:hint="default"/>
      </w:rPr>
    </w:lvl>
  </w:abstractNum>
  <w:abstractNum w:abstractNumId="2" w15:restartNumberingAfterBreak="0">
    <w:nsid w:val="04485CC6"/>
    <w:multiLevelType w:val="multilevel"/>
    <w:tmpl w:val="E2C89342"/>
    <w:lvl w:ilvl="0">
      <w:start w:val="1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2D2DC4"/>
    <w:multiLevelType w:val="multilevel"/>
    <w:tmpl w:val="CB88B0F2"/>
    <w:lvl w:ilvl="0">
      <w:start w:val="11"/>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73C3899"/>
    <w:multiLevelType w:val="hybridMultilevel"/>
    <w:tmpl w:val="5A0044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7C1D11"/>
    <w:multiLevelType w:val="multilevel"/>
    <w:tmpl w:val="9678135A"/>
    <w:lvl w:ilvl="0">
      <w:start w:val="11"/>
      <w:numFmt w:val="decimal"/>
      <w:lvlText w:val="%1"/>
      <w:lvlJc w:val="left"/>
      <w:pPr>
        <w:tabs>
          <w:tab w:val="num" w:pos="2250"/>
        </w:tabs>
        <w:ind w:left="2250" w:hanging="2250"/>
      </w:pPr>
      <w:rPr>
        <w:rFonts w:hint="default"/>
      </w:rPr>
    </w:lvl>
    <w:lvl w:ilvl="1">
      <w:start w:val="1"/>
      <w:numFmt w:val="decimal"/>
      <w:lvlText w:val="%1-%2"/>
      <w:lvlJc w:val="left"/>
      <w:pPr>
        <w:tabs>
          <w:tab w:val="num" w:pos="2250"/>
        </w:tabs>
        <w:ind w:left="2250" w:hanging="2250"/>
      </w:pPr>
      <w:rPr>
        <w:rFonts w:hint="default"/>
      </w:rPr>
    </w:lvl>
    <w:lvl w:ilvl="2">
      <w:start w:val="1"/>
      <w:numFmt w:val="decimal"/>
      <w:lvlText w:val="%1-%2.%3"/>
      <w:lvlJc w:val="left"/>
      <w:pPr>
        <w:tabs>
          <w:tab w:val="num" w:pos="2250"/>
        </w:tabs>
        <w:ind w:left="2250" w:hanging="2250"/>
      </w:pPr>
      <w:rPr>
        <w:rFonts w:hint="default"/>
      </w:rPr>
    </w:lvl>
    <w:lvl w:ilvl="3">
      <w:start w:val="1"/>
      <w:numFmt w:val="decimal"/>
      <w:lvlText w:val="%1-%2.%3.%4"/>
      <w:lvlJc w:val="left"/>
      <w:pPr>
        <w:tabs>
          <w:tab w:val="num" w:pos="2250"/>
        </w:tabs>
        <w:ind w:left="2250" w:hanging="2250"/>
      </w:pPr>
      <w:rPr>
        <w:rFonts w:hint="default"/>
      </w:rPr>
    </w:lvl>
    <w:lvl w:ilvl="4">
      <w:start w:val="1"/>
      <w:numFmt w:val="decimal"/>
      <w:lvlText w:val="%1-%2.%3.%4.%5"/>
      <w:lvlJc w:val="left"/>
      <w:pPr>
        <w:tabs>
          <w:tab w:val="num" w:pos="2250"/>
        </w:tabs>
        <w:ind w:left="2250" w:hanging="2250"/>
      </w:pPr>
      <w:rPr>
        <w:rFonts w:hint="default"/>
      </w:rPr>
    </w:lvl>
    <w:lvl w:ilvl="5">
      <w:start w:val="1"/>
      <w:numFmt w:val="decimal"/>
      <w:lvlText w:val="%1-%2.%3.%4.%5.%6"/>
      <w:lvlJc w:val="left"/>
      <w:pPr>
        <w:tabs>
          <w:tab w:val="num" w:pos="2250"/>
        </w:tabs>
        <w:ind w:left="2250" w:hanging="2250"/>
      </w:pPr>
      <w:rPr>
        <w:rFonts w:hint="default"/>
      </w:rPr>
    </w:lvl>
    <w:lvl w:ilvl="6">
      <w:start w:val="1"/>
      <w:numFmt w:val="decimal"/>
      <w:lvlText w:val="%1-%2.%3.%4.%5.%6.%7"/>
      <w:lvlJc w:val="left"/>
      <w:pPr>
        <w:tabs>
          <w:tab w:val="num" w:pos="2250"/>
        </w:tabs>
        <w:ind w:left="2250" w:hanging="2250"/>
      </w:pPr>
      <w:rPr>
        <w:rFonts w:hint="default"/>
      </w:rPr>
    </w:lvl>
    <w:lvl w:ilvl="7">
      <w:start w:val="1"/>
      <w:numFmt w:val="decimal"/>
      <w:lvlText w:val="%1-%2.%3.%4.%5.%6.%7.%8"/>
      <w:lvlJc w:val="left"/>
      <w:pPr>
        <w:tabs>
          <w:tab w:val="num" w:pos="2250"/>
        </w:tabs>
        <w:ind w:left="2250" w:hanging="2250"/>
      </w:pPr>
      <w:rPr>
        <w:rFonts w:hint="default"/>
      </w:rPr>
    </w:lvl>
    <w:lvl w:ilvl="8">
      <w:start w:val="1"/>
      <w:numFmt w:val="decimal"/>
      <w:lvlText w:val="%1-%2.%3.%4.%5.%6.%7.%8.%9"/>
      <w:lvlJc w:val="left"/>
      <w:pPr>
        <w:tabs>
          <w:tab w:val="num" w:pos="2250"/>
        </w:tabs>
        <w:ind w:left="2250" w:hanging="2250"/>
      </w:pPr>
      <w:rPr>
        <w:rFonts w:hint="default"/>
      </w:rPr>
    </w:lvl>
  </w:abstractNum>
  <w:abstractNum w:abstractNumId="6" w15:restartNumberingAfterBreak="0">
    <w:nsid w:val="0F7E0D91"/>
    <w:multiLevelType w:val="multilevel"/>
    <w:tmpl w:val="5C187276"/>
    <w:lvl w:ilvl="0">
      <w:start w:val="9"/>
      <w:numFmt w:val="decimal"/>
      <w:lvlText w:val="%1"/>
      <w:lvlJc w:val="left"/>
      <w:pPr>
        <w:tabs>
          <w:tab w:val="num" w:pos="2250"/>
        </w:tabs>
        <w:ind w:left="2250" w:hanging="2250"/>
      </w:pPr>
      <w:rPr>
        <w:rFonts w:hint="default"/>
      </w:rPr>
    </w:lvl>
    <w:lvl w:ilvl="1">
      <w:start w:val="1"/>
      <w:numFmt w:val="decimal"/>
      <w:lvlText w:val="%1-%2"/>
      <w:lvlJc w:val="left"/>
      <w:pPr>
        <w:tabs>
          <w:tab w:val="num" w:pos="2250"/>
        </w:tabs>
        <w:ind w:left="2250" w:hanging="2250"/>
      </w:pPr>
      <w:rPr>
        <w:rFonts w:hint="default"/>
      </w:rPr>
    </w:lvl>
    <w:lvl w:ilvl="2">
      <w:start w:val="1"/>
      <w:numFmt w:val="decimal"/>
      <w:lvlText w:val="%1-%2.%3"/>
      <w:lvlJc w:val="left"/>
      <w:pPr>
        <w:tabs>
          <w:tab w:val="num" w:pos="2250"/>
        </w:tabs>
        <w:ind w:left="2250" w:hanging="2250"/>
      </w:pPr>
      <w:rPr>
        <w:rFonts w:hint="default"/>
      </w:rPr>
    </w:lvl>
    <w:lvl w:ilvl="3">
      <w:start w:val="1"/>
      <w:numFmt w:val="decimal"/>
      <w:lvlText w:val="%1-%2.%3.%4"/>
      <w:lvlJc w:val="left"/>
      <w:pPr>
        <w:tabs>
          <w:tab w:val="num" w:pos="2250"/>
        </w:tabs>
        <w:ind w:left="2250" w:hanging="2250"/>
      </w:pPr>
      <w:rPr>
        <w:rFonts w:hint="default"/>
      </w:rPr>
    </w:lvl>
    <w:lvl w:ilvl="4">
      <w:start w:val="1"/>
      <w:numFmt w:val="decimal"/>
      <w:lvlText w:val="%1-%2.%3.%4.%5"/>
      <w:lvlJc w:val="left"/>
      <w:pPr>
        <w:tabs>
          <w:tab w:val="num" w:pos="2250"/>
        </w:tabs>
        <w:ind w:left="2250" w:hanging="2250"/>
      </w:pPr>
      <w:rPr>
        <w:rFonts w:hint="default"/>
      </w:rPr>
    </w:lvl>
    <w:lvl w:ilvl="5">
      <w:start w:val="1"/>
      <w:numFmt w:val="decimal"/>
      <w:lvlText w:val="%1-%2.%3.%4.%5.%6"/>
      <w:lvlJc w:val="left"/>
      <w:pPr>
        <w:tabs>
          <w:tab w:val="num" w:pos="2250"/>
        </w:tabs>
        <w:ind w:left="2250" w:hanging="2250"/>
      </w:pPr>
      <w:rPr>
        <w:rFonts w:hint="default"/>
      </w:rPr>
    </w:lvl>
    <w:lvl w:ilvl="6">
      <w:start w:val="1"/>
      <w:numFmt w:val="decimal"/>
      <w:lvlText w:val="%1-%2.%3.%4.%5.%6.%7"/>
      <w:lvlJc w:val="left"/>
      <w:pPr>
        <w:tabs>
          <w:tab w:val="num" w:pos="2250"/>
        </w:tabs>
        <w:ind w:left="2250" w:hanging="2250"/>
      </w:pPr>
      <w:rPr>
        <w:rFonts w:hint="default"/>
      </w:rPr>
    </w:lvl>
    <w:lvl w:ilvl="7">
      <w:start w:val="1"/>
      <w:numFmt w:val="decimal"/>
      <w:lvlText w:val="%1-%2.%3.%4.%5.%6.%7.%8"/>
      <w:lvlJc w:val="left"/>
      <w:pPr>
        <w:tabs>
          <w:tab w:val="num" w:pos="2250"/>
        </w:tabs>
        <w:ind w:left="2250" w:hanging="2250"/>
      </w:pPr>
      <w:rPr>
        <w:rFonts w:hint="default"/>
      </w:rPr>
    </w:lvl>
    <w:lvl w:ilvl="8">
      <w:start w:val="1"/>
      <w:numFmt w:val="decimal"/>
      <w:lvlText w:val="%1-%2.%3.%4.%5.%6.%7.%8.%9"/>
      <w:lvlJc w:val="left"/>
      <w:pPr>
        <w:tabs>
          <w:tab w:val="num" w:pos="2250"/>
        </w:tabs>
        <w:ind w:left="2250" w:hanging="2250"/>
      </w:pPr>
      <w:rPr>
        <w:rFonts w:hint="default"/>
      </w:rPr>
    </w:lvl>
  </w:abstractNum>
  <w:abstractNum w:abstractNumId="7" w15:restartNumberingAfterBreak="0">
    <w:nsid w:val="17EF6737"/>
    <w:multiLevelType w:val="multilevel"/>
    <w:tmpl w:val="DA12A11A"/>
    <w:lvl w:ilvl="0">
      <w:start w:val="3"/>
      <w:numFmt w:val="decimal"/>
      <w:lvlText w:val="%1"/>
      <w:lvlJc w:val="left"/>
      <w:pPr>
        <w:tabs>
          <w:tab w:val="num" w:pos="2250"/>
        </w:tabs>
        <w:ind w:left="2250" w:hanging="2250"/>
      </w:pPr>
      <w:rPr>
        <w:rFonts w:hint="default"/>
      </w:rPr>
    </w:lvl>
    <w:lvl w:ilvl="1">
      <w:start w:val="1"/>
      <w:numFmt w:val="decimal"/>
      <w:lvlText w:val="%1-%2"/>
      <w:lvlJc w:val="left"/>
      <w:pPr>
        <w:tabs>
          <w:tab w:val="num" w:pos="2250"/>
        </w:tabs>
        <w:ind w:left="2250" w:hanging="2250"/>
      </w:pPr>
      <w:rPr>
        <w:rFonts w:hint="default"/>
      </w:rPr>
    </w:lvl>
    <w:lvl w:ilvl="2">
      <w:start w:val="1"/>
      <w:numFmt w:val="decimal"/>
      <w:lvlText w:val="%1-%2.%3"/>
      <w:lvlJc w:val="left"/>
      <w:pPr>
        <w:tabs>
          <w:tab w:val="num" w:pos="2250"/>
        </w:tabs>
        <w:ind w:left="2250" w:hanging="2250"/>
      </w:pPr>
      <w:rPr>
        <w:rFonts w:hint="default"/>
      </w:rPr>
    </w:lvl>
    <w:lvl w:ilvl="3">
      <w:start w:val="1"/>
      <w:numFmt w:val="decimal"/>
      <w:lvlText w:val="%1-%2.%3.%4"/>
      <w:lvlJc w:val="left"/>
      <w:pPr>
        <w:tabs>
          <w:tab w:val="num" w:pos="2250"/>
        </w:tabs>
        <w:ind w:left="2250" w:hanging="2250"/>
      </w:pPr>
      <w:rPr>
        <w:rFonts w:hint="default"/>
      </w:rPr>
    </w:lvl>
    <w:lvl w:ilvl="4">
      <w:start w:val="1"/>
      <w:numFmt w:val="decimal"/>
      <w:lvlText w:val="%1-%2.%3.%4.%5"/>
      <w:lvlJc w:val="left"/>
      <w:pPr>
        <w:tabs>
          <w:tab w:val="num" w:pos="2250"/>
        </w:tabs>
        <w:ind w:left="2250" w:hanging="2250"/>
      </w:pPr>
      <w:rPr>
        <w:rFonts w:hint="default"/>
      </w:rPr>
    </w:lvl>
    <w:lvl w:ilvl="5">
      <w:start w:val="1"/>
      <w:numFmt w:val="decimal"/>
      <w:lvlText w:val="%1-%2.%3.%4.%5.%6"/>
      <w:lvlJc w:val="left"/>
      <w:pPr>
        <w:tabs>
          <w:tab w:val="num" w:pos="2250"/>
        </w:tabs>
        <w:ind w:left="2250" w:hanging="2250"/>
      </w:pPr>
      <w:rPr>
        <w:rFonts w:hint="default"/>
      </w:rPr>
    </w:lvl>
    <w:lvl w:ilvl="6">
      <w:start w:val="1"/>
      <w:numFmt w:val="decimal"/>
      <w:lvlText w:val="%1-%2.%3.%4.%5.%6.%7"/>
      <w:lvlJc w:val="left"/>
      <w:pPr>
        <w:tabs>
          <w:tab w:val="num" w:pos="2250"/>
        </w:tabs>
        <w:ind w:left="2250" w:hanging="2250"/>
      </w:pPr>
      <w:rPr>
        <w:rFonts w:hint="default"/>
      </w:rPr>
    </w:lvl>
    <w:lvl w:ilvl="7">
      <w:start w:val="1"/>
      <w:numFmt w:val="decimal"/>
      <w:lvlText w:val="%1-%2.%3.%4.%5.%6.%7.%8"/>
      <w:lvlJc w:val="left"/>
      <w:pPr>
        <w:tabs>
          <w:tab w:val="num" w:pos="2250"/>
        </w:tabs>
        <w:ind w:left="2250" w:hanging="2250"/>
      </w:pPr>
      <w:rPr>
        <w:rFonts w:hint="default"/>
      </w:rPr>
    </w:lvl>
    <w:lvl w:ilvl="8">
      <w:start w:val="1"/>
      <w:numFmt w:val="decimal"/>
      <w:lvlText w:val="%1-%2.%3.%4.%5.%6.%7.%8.%9"/>
      <w:lvlJc w:val="left"/>
      <w:pPr>
        <w:tabs>
          <w:tab w:val="num" w:pos="2250"/>
        </w:tabs>
        <w:ind w:left="2250" w:hanging="2250"/>
      </w:pPr>
      <w:rPr>
        <w:rFonts w:hint="default"/>
      </w:rPr>
    </w:lvl>
  </w:abstractNum>
  <w:abstractNum w:abstractNumId="8" w15:restartNumberingAfterBreak="0">
    <w:nsid w:val="18B33B63"/>
    <w:multiLevelType w:val="multilevel"/>
    <w:tmpl w:val="1AE88A3A"/>
    <w:lvl w:ilvl="0">
      <w:start w:val="1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DE51A11"/>
    <w:multiLevelType w:val="multilevel"/>
    <w:tmpl w:val="49A0029C"/>
    <w:lvl w:ilvl="0">
      <w:start w:val="5"/>
      <w:numFmt w:val="decimal"/>
      <w:lvlText w:val="%1"/>
      <w:lvlJc w:val="left"/>
      <w:pPr>
        <w:tabs>
          <w:tab w:val="num" w:pos="2250"/>
        </w:tabs>
        <w:ind w:left="2250" w:hanging="2250"/>
      </w:pPr>
      <w:rPr>
        <w:rFonts w:hint="default"/>
      </w:rPr>
    </w:lvl>
    <w:lvl w:ilvl="1">
      <w:start w:val="1"/>
      <w:numFmt w:val="decimal"/>
      <w:lvlText w:val="%1-%2"/>
      <w:lvlJc w:val="left"/>
      <w:pPr>
        <w:tabs>
          <w:tab w:val="num" w:pos="2250"/>
        </w:tabs>
        <w:ind w:left="2250" w:hanging="2250"/>
      </w:pPr>
      <w:rPr>
        <w:rFonts w:hint="default"/>
      </w:rPr>
    </w:lvl>
    <w:lvl w:ilvl="2">
      <w:start w:val="1"/>
      <w:numFmt w:val="decimal"/>
      <w:lvlText w:val="%1-%2.%3"/>
      <w:lvlJc w:val="left"/>
      <w:pPr>
        <w:tabs>
          <w:tab w:val="num" w:pos="2250"/>
        </w:tabs>
        <w:ind w:left="2250" w:hanging="2250"/>
      </w:pPr>
      <w:rPr>
        <w:rFonts w:hint="default"/>
      </w:rPr>
    </w:lvl>
    <w:lvl w:ilvl="3">
      <w:start w:val="1"/>
      <w:numFmt w:val="decimal"/>
      <w:lvlText w:val="%1-%2.%3.%4"/>
      <w:lvlJc w:val="left"/>
      <w:pPr>
        <w:tabs>
          <w:tab w:val="num" w:pos="2250"/>
        </w:tabs>
        <w:ind w:left="2250" w:hanging="2250"/>
      </w:pPr>
      <w:rPr>
        <w:rFonts w:hint="default"/>
      </w:rPr>
    </w:lvl>
    <w:lvl w:ilvl="4">
      <w:start w:val="1"/>
      <w:numFmt w:val="decimal"/>
      <w:lvlText w:val="%1-%2.%3.%4.%5"/>
      <w:lvlJc w:val="left"/>
      <w:pPr>
        <w:tabs>
          <w:tab w:val="num" w:pos="2250"/>
        </w:tabs>
        <w:ind w:left="2250" w:hanging="2250"/>
      </w:pPr>
      <w:rPr>
        <w:rFonts w:hint="default"/>
      </w:rPr>
    </w:lvl>
    <w:lvl w:ilvl="5">
      <w:start w:val="1"/>
      <w:numFmt w:val="decimal"/>
      <w:lvlText w:val="%1-%2.%3.%4.%5.%6"/>
      <w:lvlJc w:val="left"/>
      <w:pPr>
        <w:tabs>
          <w:tab w:val="num" w:pos="2250"/>
        </w:tabs>
        <w:ind w:left="2250" w:hanging="2250"/>
      </w:pPr>
      <w:rPr>
        <w:rFonts w:hint="default"/>
      </w:rPr>
    </w:lvl>
    <w:lvl w:ilvl="6">
      <w:start w:val="1"/>
      <w:numFmt w:val="decimal"/>
      <w:lvlText w:val="%1-%2.%3.%4.%5.%6.%7"/>
      <w:lvlJc w:val="left"/>
      <w:pPr>
        <w:tabs>
          <w:tab w:val="num" w:pos="2250"/>
        </w:tabs>
        <w:ind w:left="2250" w:hanging="2250"/>
      </w:pPr>
      <w:rPr>
        <w:rFonts w:hint="default"/>
      </w:rPr>
    </w:lvl>
    <w:lvl w:ilvl="7">
      <w:start w:val="1"/>
      <w:numFmt w:val="decimal"/>
      <w:lvlText w:val="%1-%2.%3.%4.%5.%6.%7.%8"/>
      <w:lvlJc w:val="left"/>
      <w:pPr>
        <w:tabs>
          <w:tab w:val="num" w:pos="2250"/>
        </w:tabs>
        <w:ind w:left="2250" w:hanging="2250"/>
      </w:pPr>
      <w:rPr>
        <w:rFonts w:hint="default"/>
      </w:rPr>
    </w:lvl>
    <w:lvl w:ilvl="8">
      <w:start w:val="1"/>
      <w:numFmt w:val="decimal"/>
      <w:lvlText w:val="%1-%2.%3.%4.%5.%6.%7.%8.%9"/>
      <w:lvlJc w:val="left"/>
      <w:pPr>
        <w:tabs>
          <w:tab w:val="num" w:pos="2250"/>
        </w:tabs>
        <w:ind w:left="2250" w:hanging="2250"/>
      </w:pPr>
      <w:rPr>
        <w:rFonts w:hint="default"/>
      </w:rPr>
    </w:lvl>
  </w:abstractNum>
  <w:abstractNum w:abstractNumId="10" w15:restartNumberingAfterBreak="0">
    <w:nsid w:val="21FB555E"/>
    <w:multiLevelType w:val="hybridMultilevel"/>
    <w:tmpl w:val="9F4ED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FB57EA"/>
    <w:multiLevelType w:val="multilevel"/>
    <w:tmpl w:val="E61A2EFE"/>
    <w:lvl w:ilvl="0">
      <w:start w:val="2"/>
      <w:numFmt w:val="decimal"/>
      <w:lvlText w:val="%1"/>
      <w:lvlJc w:val="left"/>
      <w:pPr>
        <w:tabs>
          <w:tab w:val="num" w:pos="2250"/>
        </w:tabs>
        <w:ind w:left="2250" w:hanging="2250"/>
      </w:pPr>
      <w:rPr>
        <w:rFonts w:hint="default"/>
      </w:rPr>
    </w:lvl>
    <w:lvl w:ilvl="1">
      <w:start w:val="1"/>
      <w:numFmt w:val="decimal"/>
      <w:lvlText w:val="%1-%2"/>
      <w:lvlJc w:val="left"/>
      <w:pPr>
        <w:tabs>
          <w:tab w:val="num" w:pos="2250"/>
        </w:tabs>
        <w:ind w:left="2250" w:hanging="2250"/>
      </w:pPr>
      <w:rPr>
        <w:rFonts w:hint="default"/>
      </w:rPr>
    </w:lvl>
    <w:lvl w:ilvl="2">
      <w:start w:val="1"/>
      <w:numFmt w:val="decimal"/>
      <w:lvlText w:val="%1-%2.%3"/>
      <w:lvlJc w:val="left"/>
      <w:pPr>
        <w:tabs>
          <w:tab w:val="num" w:pos="2250"/>
        </w:tabs>
        <w:ind w:left="2250" w:hanging="2250"/>
      </w:pPr>
      <w:rPr>
        <w:rFonts w:hint="default"/>
      </w:rPr>
    </w:lvl>
    <w:lvl w:ilvl="3">
      <w:start w:val="1"/>
      <w:numFmt w:val="decimal"/>
      <w:lvlText w:val="%1-%2.%3.%4"/>
      <w:lvlJc w:val="left"/>
      <w:pPr>
        <w:tabs>
          <w:tab w:val="num" w:pos="2250"/>
        </w:tabs>
        <w:ind w:left="2250" w:hanging="2250"/>
      </w:pPr>
      <w:rPr>
        <w:rFonts w:hint="default"/>
      </w:rPr>
    </w:lvl>
    <w:lvl w:ilvl="4">
      <w:start w:val="1"/>
      <w:numFmt w:val="decimal"/>
      <w:lvlText w:val="%1-%2.%3.%4.%5"/>
      <w:lvlJc w:val="left"/>
      <w:pPr>
        <w:tabs>
          <w:tab w:val="num" w:pos="2250"/>
        </w:tabs>
        <w:ind w:left="2250" w:hanging="2250"/>
      </w:pPr>
      <w:rPr>
        <w:rFonts w:hint="default"/>
      </w:rPr>
    </w:lvl>
    <w:lvl w:ilvl="5">
      <w:start w:val="1"/>
      <w:numFmt w:val="decimal"/>
      <w:lvlText w:val="%1-%2.%3.%4.%5.%6"/>
      <w:lvlJc w:val="left"/>
      <w:pPr>
        <w:tabs>
          <w:tab w:val="num" w:pos="2250"/>
        </w:tabs>
        <w:ind w:left="2250" w:hanging="2250"/>
      </w:pPr>
      <w:rPr>
        <w:rFonts w:hint="default"/>
      </w:rPr>
    </w:lvl>
    <w:lvl w:ilvl="6">
      <w:start w:val="1"/>
      <w:numFmt w:val="decimal"/>
      <w:lvlText w:val="%1-%2.%3.%4.%5.%6.%7"/>
      <w:lvlJc w:val="left"/>
      <w:pPr>
        <w:tabs>
          <w:tab w:val="num" w:pos="2250"/>
        </w:tabs>
        <w:ind w:left="2250" w:hanging="2250"/>
      </w:pPr>
      <w:rPr>
        <w:rFonts w:hint="default"/>
      </w:rPr>
    </w:lvl>
    <w:lvl w:ilvl="7">
      <w:start w:val="1"/>
      <w:numFmt w:val="decimal"/>
      <w:lvlText w:val="%1-%2.%3.%4.%5.%6.%7.%8"/>
      <w:lvlJc w:val="left"/>
      <w:pPr>
        <w:tabs>
          <w:tab w:val="num" w:pos="2250"/>
        </w:tabs>
        <w:ind w:left="2250" w:hanging="2250"/>
      </w:pPr>
      <w:rPr>
        <w:rFonts w:hint="default"/>
      </w:rPr>
    </w:lvl>
    <w:lvl w:ilvl="8">
      <w:start w:val="1"/>
      <w:numFmt w:val="decimal"/>
      <w:lvlText w:val="%1-%2.%3.%4.%5.%6.%7.%8.%9"/>
      <w:lvlJc w:val="left"/>
      <w:pPr>
        <w:tabs>
          <w:tab w:val="num" w:pos="2250"/>
        </w:tabs>
        <w:ind w:left="2250" w:hanging="2250"/>
      </w:pPr>
      <w:rPr>
        <w:rFonts w:hint="default"/>
      </w:rPr>
    </w:lvl>
  </w:abstractNum>
  <w:abstractNum w:abstractNumId="12" w15:restartNumberingAfterBreak="0">
    <w:nsid w:val="330F0C0D"/>
    <w:multiLevelType w:val="multilevel"/>
    <w:tmpl w:val="26249830"/>
    <w:lvl w:ilvl="0">
      <w:start w:val="12"/>
      <w:numFmt w:val="decimal"/>
      <w:lvlText w:val="%1"/>
      <w:lvlJc w:val="left"/>
      <w:pPr>
        <w:tabs>
          <w:tab w:val="num" w:pos="2250"/>
        </w:tabs>
        <w:ind w:left="2250" w:hanging="2250"/>
      </w:pPr>
      <w:rPr>
        <w:rFonts w:hint="default"/>
      </w:rPr>
    </w:lvl>
    <w:lvl w:ilvl="1">
      <w:start w:val="1"/>
      <w:numFmt w:val="decimal"/>
      <w:lvlText w:val="%1-%2"/>
      <w:lvlJc w:val="left"/>
      <w:pPr>
        <w:tabs>
          <w:tab w:val="num" w:pos="2250"/>
        </w:tabs>
        <w:ind w:left="2250" w:hanging="2250"/>
      </w:pPr>
      <w:rPr>
        <w:rFonts w:hint="default"/>
      </w:rPr>
    </w:lvl>
    <w:lvl w:ilvl="2">
      <w:start w:val="1"/>
      <w:numFmt w:val="decimal"/>
      <w:lvlText w:val="%1-%2.%3"/>
      <w:lvlJc w:val="left"/>
      <w:pPr>
        <w:tabs>
          <w:tab w:val="num" w:pos="2250"/>
        </w:tabs>
        <w:ind w:left="2250" w:hanging="2250"/>
      </w:pPr>
      <w:rPr>
        <w:rFonts w:hint="default"/>
      </w:rPr>
    </w:lvl>
    <w:lvl w:ilvl="3">
      <w:start w:val="1"/>
      <w:numFmt w:val="decimal"/>
      <w:lvlText w:val="%1-%2.%3.%4"/>
      <w:lvlJc w:val="left"/>
      <w:pPr>
        <w:tabs>
          <w:tab w:val="num" w:pos="2250"/>
        </w:tabs>
        <w:ind w:left="2250" w:hanging="2250"/>
      </w:pPr>
      <w:rPr>
        <w:rFonts w:hint="default"/>
      </w:rPr>
    </w:lvl>
    <w:lvl w:ilvl="4">
      <w:start w:val="1"/>
      <w:numFmt w:val="decimal"/>
      <w:lvlText w:val="%1-%2.%3.%4.%5"/>
      <w:lvlJc w:val="left"/>
      <w:pPr>
        <w:tabs>
          <w:tab w:val="num" w:pos="2250"/>
        </w:tabs>
        <w:ind w:left="2250" w:hanging="2250"/>
      </w:pPr>
      <w:rPr>
        <w:rFonts w:hint="default"/>
      </w:rPr>
    </w:lvl>
    <w:lvl w:ilvl="5">
      <w:start w:val="1"/>
      <w:numFmt w:val="decimal"/>
      <w:lvlText w:val="%1-%2.%3.%4.%5.%6"/>
      <w:lvlJc w:val="left"/>
      <w:pPr>
        <w:tabs>
          <w:tab w:val="num" w:pos="2250"/>
        </w:tabs>
        <w:ind w:left="2250" w:hanging="2250"/>
      </w:pPr>
      <w:rPr>
        <w:rFonts w:hint="default"/>
      </w:rPr>
    </w:lvl>
    <w:lvl w:ilvl="6">
      <w:start w:val="1"/>
      <w:numFmt w:val="decimal"/>
      <w:lvlText w:val="%1-%2.%3.%4.%5.%6.%7"/>
      <w:lvlJc w:val="left"/>
      <w:pPr>
        <w:tabs>
          <w:tab w:val="num" w:pos="2250"/>
        </w:tabs>
        <w:ind w:left="2250" w:hanging="2250"/>
      </w:pPr>
      <w:rPr>
        <w:rFonts w:hint="default"/>
      </w:rPr>
    </w:lvl>
    <w:lvl w:ilvl="7">
      <w:start w:val="1"/>
      <w:numFmt w:val="decimal"/>
      <w:lvlText w:val="%1-%2.%3.%4.%5.%6.%7.%8"/>
      <w:lvlJc w:val="left"/>
      <w:pPr>
        <w:tabs>
          <w:tab w:val="num" w:pos="2250"/>
        </w:tabs>
        <w:ind w:left="2250" w:hanging="2250"/>
      </w:pPr>
      <w:rPr>
        <w:rFonts w:hint="default"/>
      </w:rPr>
    </w:lvl>
    <w:lvl w:ilvl="8">
      <w:start w:val="1"/>
      <w:numFmt w:val="decimal"/>
      <w:lvlText w:val="%1-%2.%3.%4.%5.%6.%7.%8.%9"/>
      <w:lvlJc w:val="left"/>
      <w:pPr>
        <w:tabs>
          <w:tab w:val="num" w:pos="2250"/>
        </w:tabs>
        <w:ind w:left="2250" w:hanging="2250"/>
      </w:pPr>
      <w:rPr>
        <w:rFonts w:hint="default"/>
      </w:rPr>
    </w:lvl>
  </w:abstractNum>
  <w:abstractNum w:abstractNumId="13" w15:restartNumberingAfterBreak="0">
    <w:nsid w:val="3AD241F1"/>
    <w:multiLevelType w:val="multilevel"/>
    <w:tmpl w:val="D9C4D9BE"/>
    <w:lvl w:ilvl="0">
      <w:start w:val="1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BC066EB"/>
    <w:multiLevelType w:val="multilevel"/>
    <w:tmpl w:val="1F2E6B44"/>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E3F42AD"/>
    <w:multiLevelType w:val="multilevel"/>
    <w:tmpl w:val="76E24E44"/>
    <w:lvl w:ilvl="0">
      <w:start w:val="8"/>
      <w:numFmt w:val="decimal"/>
      <w:lvlText w:val="%1"/>
      <w:lvlJc w:val="left"/>
      <w:pPr>
        <w:tabs>
          <w:tab w:val="num" w:pos="2250"/>
        </w:tabs>
        <w:ind w:left="2250" w:hanging="2250"/>
      </w:pPr>
      <w:rPr>
        <w:rFonts w:hint="default"/>
      </w:rPr>
    </w:lvl>
    <w:lvl w:ilvl="1">
      <w:start w:val="1"/>
      <w:numFmt w:val="decimal"/>
      <w:lvlText w:val="%1-%2"/>
      <w:lvlJc w:val="left"/>
      <w:pPr>
        <w:tabs>
          <w:tab w:val="num" w:pos="2250"/>
        </w:tabs>
        <w:ind w:left="2250" w:hanging="2250"/>
      </w:pPr>
      <w:rPr>
        <w:rFonts w:hint="default"/>
      </w:rPr>
    </w:lvl>
    <w:lvl w:ilvl="2">
      <w:start w:val="1"/>
      <w:numFmt w:val="decimal"/>
      <w:lvlText w:val="%1-%2.%3"/>
      <w:lvlJc w:val="left"/>
      <w:pPr>
        <w:tabs>
          <w:tab w:val="num" w:pos="2250"/>
        </w:tabs>
        <w:ind w:left="2250" w:hanging="2250"/>
      </w:pPr>
      <w:rPr>
        <w:rFonts w:hint="default"/>
      </w:rPr>
    </w:lvl>
    <w:lvl w:ilvl="3">
      <w:start w:val="1"/>
      <w:numFmt w:val="decimal"/>
      <w:lvlText w:val="%1-%2.%3.%4"/>
      <w:lvlJc w:val="left"/>
      <w:pPr>
        <w:tabs>
          <w:tab w:val="num" w:pos="2250"/>
        </w:tabs>
        <w:ind w:left="2250" w:hanging="2250"/>
      </w:pPr>
      <w:rPr>
        <w:rFonts w:hint="default"/>
      </w:rPr>
    </w:lvl>
    <w:lvl w:ilvl="4">
      <w:start w:val="1"/>
      <w:numFmt w:val="decimal"/>
      <w:lvlText w:val="%1-%2.%3.%4.%5"/>
      <w:lvlJc w:val="left"/>
      <w:pPr>
        <w:tabs>
          <w:tab w:val="num" w:pos="2250"/>
        </w:tabs>
        <w:ind w:left="2250" w:hanging="2250"/>
      </w:pPr>
      <w:rPr>
        <w:rFonts w:hint="default"/>
      </w:rPr>
    </w:lvl>
    <w:lvl w:ilvl="5">
      <w:start w:val="1"/>
      <w:numFmt w:val="decimal"/>
      <w:lvlText w:val="%1-%2.%3.%4.%5.%6"/>
      <w:lvlJc w:val="left"/>
      <w:pPr>
        <w:tabs>
          <w:tab w:val="num" w:pos="2250"/>
        </w:tabs>
        <w:ind w:left="2250" w:hanging="2250"/>
      </w:pPr>
      <w:rPr>
        <w:rFonts w:hint="default"/>
      </w:rPr>
    </w:lvl>
    <w:lvl w:ilvl="6">
      <w:start w:val="1"/>
      <w:numFmt w:val="decimal"/>
      <w:lvlText w:val="%1-%2.%3.%4.%5.%6.%7"/>
      <w:lvlJc w:val="left"/>
      <w:pPr>
        <w:tabs>
          <w:tab w:val="num" w:pos="2250"/>
        </w:tabs>
        <w:ind w:left="2250" w:hanging="2250"/>
      </w:pPr>
      <w:rPr>
        <w:rFonts w:hint="default"/>
      </w:rPr>
    </w:lvl>
    <w:lvl w:ilvl="7">
      <w:start w:val="1"/>
      <w:numFmt w:val="decimal"/>
      <w:lvlText w:val="%1-%2.%3.%4.%5.%6.%7.%8"/>
      <w:lvlJc w:val="left"/>
      <w:pPr>
        <w:tabs>
          <w:tab w:val="num" w:pos="2250"/>
        </w:tabs>
        <w:ind w:left="2250" w:hanging="2250"/>
      </w:pPr>
      <w:rPr>
        <w:rFonts w:hint="default"/>
      </w:rPr>
    </w:lvl>
    <w:lvl w:ilvl="8">
      <w:start w:val="1"/>
      <w:numFmt w:val="decimal"/>
      <w:lvlText w:val="%1-%2.%3.%4.%5.%6.%7.%8.%9"/>
      <w:lvlJc w:val="left"/>
      <w:pPr>
        <w:tabs>
          <w:tab w:val="num" w:pos="2250"/>
        </w:tabs>
        <w:ind w:left="2250" w:hanging="2250"/>
      </w:pPr>
      <w:rPr>
        <w:rFonts w:hint="default"/>
      </w:rPr>
    </w:lvl>
  </w:abstractNum>
  <w:abstractNum w:abstractNumId="16" w15:restartNumberingAfterBreak="0">
    <w:nsid w:val="44F23957"/>
    <w:multiLevelType w:val="hybridMultilevel"/>
    <w:tmpl w:val="E2741ED4"/>
    <w:lvl w:ilvl="0" w:tplc="180E1BC6">
      <w:start w:val="1"/>
      <w:numFmt w:val="decimal"/>
      <w:lvlText w:val="%1."/>
      <w:lvlJc w:val="left"/>
      <w:pPr>
        <w:tabs>
          <w:tab w:val="num" w:pos="1080"/>
        </w:tabs>
        <w:ind w:left="1080" w:hanging="720"/>
      </w:pPr>
      <w:rPr>
        <w:rFonts w:hint="default"/>
      </w:rPr>
    </w:lvl>
    <w:lvl w:ilvl="1" w:tplc="FF28620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5F33E76"/>
    <w:multiLevelType w:val="multilevel"/>
    <w:tmpl w:val="CD40A394"/>
    <w:lvl w:ilvl="0">
      <w:start w:val="1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FA706FD"/>
    <w:multiLevelType w:val="multilevel"/>
    <w:tmpl w:val="80AE06DA"/>
    <w:lvl w:ilvl="0">
      <w:start w:val="1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5BB2818"/>
    <w:multiLevelType w:val="multilevel"/>
    <w:tmpl w:val="9B30F01E"/>
    <w:lvl w:ilvl="0">
      <w:start w:val="7"/>
      <w:numFmt w:val="decimal"/>
      <w:lvlText w:val="%1"/>
      <w:lvlJc w:val="left"/>
      <w:pPr>
        <w:tabs>
          <w:tab w:val="num" w:pos="2250"/>
        </w:tabs>
        <w:ind w:left="2250" w:hanging="2250"/>
      </w:pPr>
      <w:rPr>
        <w:rFonts w:hint="default"/>
      </w:rPr>
    </w:lvl>
    <w:lvl w:ilvl="1">
      <w:start w:val="1"/>
      <w:numFmt w:val="decimal"/>
      <w:lvlText w:val="%1-%2"/>
      <w:lvlJc w:val="left"/>
      <w:pPr>
        <w:tabs>
          <w:tab w:val="num" w:pos="2250"/>
        </w:tabs>
        <w:ind w:left="2250" w:hanging="2250"/>
      </w:pPr>
      <w:rPr>
        <w:rFonts w:hint="default"/>
      </w:rPr>
    </w:lvl>
    <w:lvl w:ilvl="2">
      <w:start w:val="1"/>
      <w:numFmt w:val="decimal"/>
      <w:lvlText w:val="%1-%2.%3"/>
      <w:lvlJc w:val="left"/>
      <w:pPr>
        <w:tabs>
          <w:tab w:val="num" w:pos="2250"/>
        </w:tabs>
        <w:ind w:left="2250" w:hanging="2250"/>
      </w:pPr>
      <w:rPr>
        <w:rFonts w:hint="default"/>
      </w:rPr>
    </w:lvl>
    <w:lvl w:ilvl="3">
      <w:start w:val="1"/>
      <w:numFmt w:val="decimal"/>
      <w:lvlText w:val="%1-%2.%3.%4"/>
      <w:lvlJc w:val="left"/>
      <w:pPr>
        <w:tabs>
          <w:tab w:val="num" w:pos="2250"/>
        </w:tabs>
        <w:ind w:left="2250" w:hanging="2250"/>
      </w:pPr>
      <w:rPr>
        <w:rFonts w:hint="default"/>
      </w:rPr>
    </w:lvl>
    <w:lvl w:ilvl="4">
      <w:start w:val="1"/>
      <w:numFmt w:val="decimal"/>
      <w:lvlText w:val="%1-%2.%3.%4.%5"/>
      <w:lvlJc w:val="left"/>
      <w:pPr>
        <w:tabs>
          <w:tab w:val="num" w:pos="2250"/>
        </w:tabs>
        <w:ind w:left="2250" w:hanging="2250"/>
      </w:pPr>
      <w:rPr>
        <w:rFonts w:hint="default"/>
      </w:rPr>
    </w:lvl>
    <w:lvl w:ilvl="5">
      <w:start w:val="1"/>
      <w:numFmt w:val="decimal"/>
      <w:lvlText w:val="%1-%2.%3.%4.%5.%6"/>
      <w:lvlJc w:val="left"/>
      <w:pPr>
        <w:tabs>
          <w:tab w:val="num" w:pos="2250"/>
        </w:tabs>
        <w:ind w:left="2250" w:hanging="2250"/>
      </w:pPr>
      <w:rPr>
        <w:rFonts w:hint="default"/>
      </w:rPr>
    </w:lvl>
    <w:lvl w:ilvl="6">
      <w:start w:val="1"/>
      <w:numFmt w:val="decimal"/>
      <w:lvlText w:val="%1-%2.%3.%4.%5.%6.%7"/>
      <w:lvlJc w:val="left"/>
      <w:pPr>
        <w:tabs>
          <w:tab w:val="num" w:pos="2250"/>
        </w:tabs>
        <w:ind w:left="2250" w:hanging="2250"/>
      </w:pPr>
      <w:rPr>
        <w:rFonts w:hint="default"/>
      </w:rPr>
    </w:lvl>
    <w:lvl w:ilvl="7">
      <w:start w:val="1"/>
      <w:numFmt w:val="decimal"/>
      <w:lvlText w:val="%1-%2.%3.%4.%5.%6.%7.%8"/>
      <w:lvlJc w:val="left"/>
      <w:pPr>
        <w:tabs>
          <w:tab w:val="num" w:pos="2250"/>
        </w:tabs>
        <w:ind w:left="2250" w:hanging="2250"/>
      </w:pPr>
      <w:rPr>
        <w:rFonts w:hint="default"/>
      </w:rPr>
    </w:lvl>
    <w:lvl w:ilvl="8">
      <w:start w:val="1"/>
      <w:numFmt w:val="decimal"/>
      <w:lvlText w:val="%1-%2.%3.%4.%5.%6.%7.%8.%9"/>
      <w:lvlJc w:val="left"/>
      <w:pPr>
        <w:tabs>
          <w:tab w:val="num" w:pos="2250"/>
        </w:tabs>
        <w:ind w:left="2250" w:hanging="2250"/>
      </w:pPr>
      <w:rPr>
        <w:rFonts w:hint="default"/>
      </w:rPr>
    </w:lvl>
  </w:abstractNum>
  <w:abstractNum w:abstractNumId="20" w15:restartNumberingAfterBreak="0">
    <w:nsid w:val="5A0D65C9"/>
    <w:multiLevelType w:val="multilevel"/>
    <w:tmpl w:val="470AD056"/>
    <w:lvl w:ilvl="0">
      <w:start w:val="10"/>
      <w:numFmt w:val="decimal"/>
      <w:lvlText w:val="%1"/>
      <w:lvlJc w:val="left"/>
      <w:pPr>
        <w:tabs>
          <w:tab w:val="num" w:pos="2250"/>
        </w:tabs>
        <w:ind w:left="2250" w:hanging="2250"/>
      </w:pPr>
      <w:rPr>
        <w:rFonts w:hint="default"/>
      </w:rPr>
    </w:lvl>
    <w:lvl w:ilvl="1">
      <w:start w:val="1"/>
      <w:numFmt w:val="decimal"/>
      <w:lvlText w:val="%1-%2"/>
      <w:lvlJc w:val="left"/>
      <w:pPr>
        <w:tabs>
          <w:tab w:val="num" w:pos="2250"/>
        </w:tabs>
        <w:ind w:left="2250" w:hanging="2250"/>
      </w:pPr>
      <w:rPr>
        <w:rFonts w:hint="default"/>
      </w:rPr>
    </w:lvl>
    <w:lvl w:ilvl="2">
      <w:start w:val="1"/>
      <w:numFmt w:val="decimal"/>
      <w:lvlText w:val="%1-%2.%3"/>
      <w:lvlJc w:val="left"/>
      <w:pPr>
        <w:tabs>
          <w:tab w:val="num" w:pos="2250"/>
        </w:tabs>
        <w:ind w:left="2250" w:hanging="2250"/>
      </w:pPr>
      <w:rPr>
        <w:rFonts w:hint="default"/>
      </w:rPr>
    </w:lvl>
    <w:lvl w:ilvl="3">
      <w:start w:val="1"/>
      <w:numFmt w:val="decimal"/>
      <w:lvlText w:val="%1-%2.%3.%4"/>
      <w:lvlJc w:val="left"/>
      <w:pPr>
        <w:tabs>
          <w:tab w:val="num" w:pos="2250"/>
        </w:tabs>
        <w:ind w:left="2250" w:hanging="2250"/>
      </w:pPr>
      <w:rPr>
        <w:rFonts w:hint="default"/>
      </w:rPr>
    </w:lvl>
    <w:lvl w:ilvl="4">
      <w:start w:val="1"/>
      <w:numFmt w:val="decimal"/>
      <w:lvlText w:val="%1-%2.%3.%4.%5"/>
      <w:lvlJc w:val="left"/>
      <w:pPr>
        <w:tabs>
          <w:tab w:val="num" w:pos="2250"/>
        </w:tabs>
        <w:ind w:left="2250" w:hanging="2250"/>
      </w:pPr>
      <w:rPr>
        <w:rFonts w:hint="default"/>
      </w:rPr>
    </w:lvl>
    <w:lvl w:ilvl="5">
      <w:start w:val="1"/>
      <w:numFmt w:val="decimal"/>
      <w:lvlText w:val="%1-%2.%3.%4.%5.%6"/>
      <w:lvlJc w:val="left"/>
      <w:pPr>
        <w:tabs>
          <w:tab w:val="num" w:pos="2250"/>
        </w:tabs>
        <w:ind w:left="2250" w:hanging="2250"/>
      </w:pPr>
      <w:rPr>
        <w:rFonts w:hint="default"/>
      </w:rPr>
    </w:lvl>
    <w:lvl w:ilvl="6">
      <w:start w:val="1"/>
      <w:numFmt w:val="decimal"/>
      <w:lvlText w:val="%1-%2.%3.%4.%5.%6.%7"/>
      <w:lvlJc w:val="left"/>
      <w:pPr>
        <w:tabs>
          <w:tab w:val="num" w:pos="2250"/>
        </w:tabs>
        <w:ind w:left="2250" w:hanging="2250"/>
      </w:pPr>
      <w:rPr>
        <w:rFonts w:hint="default"/>
      </w:rPr>
    </w:lvl>
    <w:lvl w:ilvl="7">
      <w:start w:val="1"/>
      <w:numFmt w:val="decimal"/>
      <w:lvlText w:val="%1-%2.%3.%4.%5.%6.%7.%8"/>
      <w:lvlJc w:val="left"/>
      <w:pPr>
        <w:tabs>
          <w:tab w:val="num" w:pos="2250"/>
        </w:tabs>
        <w:ind w:left="2250" w:hanging="2250"/>
      </w:pPr>
      <w:rPr>
        <w:rFonts w:hint="default"/>
      </w:rPr>
    </w:lvl>
    <w:lvl w:ilvl="8">
      <w:start w:val="1"/>
      <w:numFmt w:val="decimal"/>
      <w:lvlText w:val="%1-%2.%3.%4.%5.%6.%7.%8.%9"/>
      <w:lvlJc w:val="left"/>
      <w:pPr>
        <w:tabs>
          <w:tab w:val="num" w:pos="2250"/>
        </w:tabs>
        <w:ind w:left="2250" w:hanging="2250"/>
      </w:pPr>
      <w:rPr>
        <w:rFonts w:hint="default"/>
      </w:rPr>
    </w:lvl>
  </w:abstractNum>
  <w:abstractNum w:abstractNumId="21" w15:restartNumberingAfterBreak="0">
    <w:nsid w:val="6066029C"/>
    <w:multiLevelType w:val="hybridMultilevel"/>
    <w:tmpl w:val="5942CF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38113F7"/>
    <w:multiLevelType w:val="multilevel"/>
    <w:tmpl w:val="452E5510"/>
    <w:lvl w:ilvl="0">
      <w:start w:val="6"/>
      <w:numFmt w:val="decimal"/>
      <w:lvlText w:val="%1"/>
      <w:lvlJc w:val="left"/>
      <w:pPr>
        <w:tabs>
          <w:tab w:val="num" w:pos="2250"/>
        </w:tabs>
        <w:ind w:left="2250" w:hanging="2250"/>
      </w:pPr>
      <w:rPr>
        <w:rFonts w:hint="default"/>
      </w:rPr>
    </w:lvl>
    <w:lvl w:ilvl="1">
      <w:start w:val="1"/>
      <w:numFmt w:val="decimal"/>
      <w:lvlText w:val="%1-%2"/>
      <w:lvlJc w:val="left"/>
      <w:pPr>
        <w:tabs>
          <w:tab w:val="num" w:pos="2250"/>
        </w:tabs>
        <w:ind w:left="2250" w:hanging="2250"/>
      </w:pPr>
      <w:rPr>
        <w:rFonts w:hint="default"/>
      </w:rPr>
    </w:lvl>
    <w:lvl w:ilvl="2">
      <w:start w:val="1"/>
      <w:numFmt w:val="decimal"/>
      <w:lvlText w:val="%1-%2.%3"/>
      <w:lvlJc w:val="left"/>
      <w:pPr>
        <w:tabs>
          <w:tab w:val="num" w:pos="2250"/>
        </w:tabs>
        <w:ind w:left="2250" w:hanging="2250"/>
      </w:pPr>
      <w:rPr>
        <w:rFonts w:hint="default"/>
      </w:rPr>
    </w:lvl>
    <w:lvl w:ilvl="3">
      <w:start w:val="1"/>
      <w:numFmt w:val="decimal"/>
      <w:lvlText w:val="%1-%2.%3.%4"/>
      <w:lvlJc w:val="left"/>
      <w:pPr>
        <w:tabs>
          <w:tab w:val="num" w:pos="2250"/>
        </w:tabs>
        <w:ind w:left="2250" w:hanging="2250"/>
      </w:pPr>
      <w:rPr>
        <w:rFonts w:hint="default"/>
      </w:rPr>
    </w:lvl>
    <w:lvl w:ilvl="4">
      <w:start w:val="1"/>
      <w:numFmt w:val="decimal"/>
      <w:lvlText w:val="%1-%2.%3.%4.%5"/>
      <w:lvlJc w:val="left"/>
      <w:pPr>
        <w:tabs>
          <w:tab w:val="num" w:pos="2250"/>
        </w:tabs>
        <w:ind w:left="2250" w:hanging="2250"/>
      </w:pPr>
      <w:rPr>
        <w:rFonts w:hint="default"/>
      </w:rPr>
    </w:lvl>
    <w:lvl w:ilvl="5">
      <w:start w:val="1"/>
      <w:numFmt w:val="decimal"/>
      <w:lvlText w:val="%1-%2.%3.%4.%5.%6"/>
      <w:lvlJc w:val="left"/>
      <w:pPr>
        <w:tabs>
          <w:tab w:val="num" w:pos="2250"/>
        </w:tabs>
        <w:ind w:left="2250" w:hanging="2250"/>
      </w:pPr>
      <w:rPr>
        <w:rFonts w:hint="default"/>
      </w:rPr>
    </w:lvl>
    <w:lvl w:ilvl="6">
      <w:start w:val="1"/>
      <w:numFmt w:val="decimal"/>
      <w:lvlText w:val="%1-%2.%3.%4.%5.%6.%7"/>
      <w:lvlJc w:val="left"/>
      <w:pPr>
        <w:tabs>
          <w:tab w:val="num" w:pos="2250"/>
        </w:tabs>
        <w:ind w:left="2250" w:hanging="2250"/>
      </w:pPr>
      <w:rPr>
        <w:rFonts w:hint="default"/>
      </w:rPr>
    </w:lvl>
    <w:lvl w:ilvl="7">
      <w:start w:val="1"/>
      <w:numFmt w:val="decimal"/>
      <w:lvlText w:val="%1-%2.%3.%4.%5.%6.%7.%8"/>
      <w:lvlJc w:val="left"/>
      <w:pPr>
        <w:tabs>
          <w:tab w:val="num" w:pos="2250"/>
        </w:tabs>
        <w:ind w:left="2250" w:hanging="2250"/>
      </w:pPr>
      <w:rPr>
        <w:rFonts w:hint="default"/>
      </w:rPr>
    </w:lvl>
    <w:lvl w:ilvl="8">
      <w:start w:val="1"/>
      <w:numFmt w:val="decimal"/>
      <w:lvlText w:val="%1-%2.%3.%4.%5.%6.%7.%8.%9"/>
      <w:lvlJc w:val="left"/>
      <w:pPr>
        <w:tabs>
          <w:tab w:val="num" w:pos="2250"/>
        </w:tabs>
        <w:ind w:left="2250" w:hanging="2250"/>
      </w:pPr>
      <w:rPr>
        <w:rFonts w:hint="default"/>
      </w:rPr>
    </w:lvl>
  </w:abstractNum>
  <w:abstractNum w:abstractNumId="23" w15:restartNumberingAfterBreak="0">
    <w:nsid w:val="65801918"/>
    <w:multiLevelType w:val="multilevel"/>
    <w:tmpl w:val="B89E15BE"/>
    <w:lvl w:ilvl="0">
      <w:start w:val="1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92E64B7"/>
    <w:multiLevelType w:val="multilevel"/>
    <w:tmpl w:val="2078E496"/>
    <w:lvl w:ilvl="0">
      <w:start w:val="6"/>
      <w:numFmt w:val="decimal"/>
      <w:lvlText w:val="%1"/>
      <w:lvlJc w:val="left"/>
      <w:pPr>
        <w:tabs>
          <w:tab w:val="num" w:pos="720"/>
        </w:tabs>
        <w:ind w:left="720" w:hanging="720"/>
      </w:pPr>
      <w:rPr>
        <w:rFonts w:hint="default"/>
      </w:rPr>
    </w:lvl>
    <w:lvl w:ilvl="1">
      <w:start w:val="1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D0943C8"/>
    <w:multiLevelType w:val="multilevel"/>
    <w:tmpl w:val="FF3071D8"/>
    <w:lvl w:ilvl="0">
      <w:start w:val="11"/>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05659D0"/>
    <w:multiLevelType w:val="multilevel"/>
    <w:tmpl w:val="985A2374"/>
    <w:lvl w:ilvl="0">
      <w:start w:val="4"/>
      <w:numFmt w:val="decimal"/>
      <w:lvlText w:val="%1"/>
      <w:lvlJc w:val="left"/>
      <w:pPr>
        <w:tabs>
          <w:tab w:val="num" w:pos="2250"/>
        </w:tabs>
        <w:ind w:left="2250" w:hanging="2250"/>
      </w:pPr>
      <w:rPr>
        <w:rFonts w:hint="default"/>
      </w:rPr>
    </w:lvl>
    <w:lvl w:ilvl="1">
      <w:start w:val="1"/>
      <w:numFmt w:val="decimal"/>
      <w:lvlText w:val="%1-%2"/>
      <w:lvlJc w:val="left"/>
      <w:pPr>
        <w:tabs>
          <w:tab w:val="num" w:pos="2250"/>
        </w:tabs>
        <w:ind w:left="2250" w:hanging="2250"/>
      </w:pPr>
      <w:rPr>
        <w:rFonts w:hint="default"/>
      </w:rPr>
    </w:lvl>
    <w:lvl w:ilvl="2">
      <w:start w:val="1"/>
      <w:numFmt w:val="decimal"/>
      <w:lvlText w:val="%1-%2.%3"/>
      <w:lvlJc w:val="left"/>
      <w:pPr>
        <w:tabs>
          <w:tab w:val="num" w:pos="2250"/>
        </w:tabs>
        <w:ind w:left="2250" w:hanging="2250"/>
      </w:pPr>
      <w:rPr>
        <w:rFonts w:hint="default"/>
      </w:rPr>
    </w:lvl>
    <w:lvl w:ilvl="3">
      <w:start w:val="1"/>
      <w:numFmt w:val="decimal"/>
      <w:lvlText w:val="%1-%2.%3.%4"/>
      <w:lvlJc w:val="left"/>
      <w:pPr>
        <w:tabs>
          <w:tab w:val="num" w:pos="2250"/>
        </w:tabs>
        <w:ind w:left="2250" w:hanging="2250"/>
      </w:pPr>
      <w:rPr>
        <w:rFonts w:hint="default"/>
      </w:rPr>
    </w:lvl>
    <w:lvl w:ilvl="4">
      <w:start w:val="1"/>
      <w:numFmt w:val="decimal"/>
      <w:lvlText w:val="%1-%2.%3.%4.%5"/>
      <w:lvlJc w:val="left"/>
      <w:pPr>
        <w:tabs>
          <w:tab w:val="num" w:pos="2250"/>
        </w:tabs>
        <w:ind w:left="2250" w:hanging="2250"/>
      </w:pPr>
      <w:rPr>
        <w:rFonts w:hint="default"/>
      </w:rPr>
    </w:lvl>
    <w:lvl w:ilvl="5">
      <w:start w:val="1"/>
      <w:numFmt w:val="decimal"/>
      <w:lvlText w:val="%1-%2.%3.%4.%5.%6"/>
      <w:lvlJc w:val="left"/>
      <w:pPr>
        <w:tabs>
          <w:tab w:val="num" w:pos="2250"/>
        </w:tabs>
        <w:ind w:left="2250" w:hanging="2250"/>
      </w:pPr>
      <w:rPr>
        <w:rFonts w:hint="default"/>
      </w:rPr>
    </w:lvl>
    <w:lvl w:ilvl="6">
      <w:start w:val="1"/>
      <w:numFmt w:val="decimal"/>
      <w:lvlText w:val="%1-%2.%3.%4.%5.%6.%7"/>
      <w:lvlJc w:val="left"/>
      <w:pPr>
        <w:tabs>
          <w:tab w:val="num" w:pos="2250"/>
        </w:tabs>
        <w:ind w:left="2250" w:hanging="2250"/>
      </w:pPr>
      <w:rPr>
        <w:rFonts w:hint="default"/>
      </w:rPr>
    </w:lvl>
    <w:lvl w:ilvl="7">
      <w:start w:val="1"/>
      <w:numFmt w:val="decimal"/>
      <w:lvlText w:val="%1-%2.%3.%4.%5.%6.%7.%8"/>
      <w:lvlJc w:val="left"/>
      <w:pPr>
        <w:tabs>
          <w:tab w:val="num" w:pos="2250"/>
        </w:tabs>
        <w:ind w:left="2250" w:hanging="2250"/>
      </w:pPr>
      <w:rPr>
        <w:rFonts w:hint="default"/>
      </w:rPr>
    </w:lvl>
    <w:lvl w:ilvl="8">
      <w:start w:val="1"/>
      <w:numFmt w:val="decimal"/>
      <w:lvlText w:val="%1-%2.%3.%4.%5.%6.%7.%8.%9"/>
      <w:lvlJc w:val="left"/>
      <w:pPr>
        <w:tabs>
          <w:tab w:val="num" w:pos="2250"/>
        </w:tabs>
        <w:ind w:left="2250" w:hanging="2250"/>
      </w:pPr>
      <w:rPr>
        <w:rFonts w:hint="default"/>
      </w:rPr>
    </w:lvl>
  </w:abstractNum>
  <w:abstractNum w:abstractNumId="27" w15:restartNumberingAfterBreak="0">
    <w:nsid w:val="768C2AE9"/>
    <w:multiLevelType w:val="multilevel"/>
    <w:tmpl w:val="D8A61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8D359A"/>
    <w:multiLevelType w:val="hybridMultilevel"/>
    <w:tmpl w:val="7D2C83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857066E"/>
    <w:multiLevelType w:val="hybridMultilevel"/>
    <w:tmpl w:val="B2D412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CAB7B93"/>
    <w:multiLevelType w:val="multilevel"/>
    <w:tmpl w:val="07BC16A4"/>
    <w:lvl w:ilvl="0">
      <w:start w:val="1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FEF55F3"/>
    <w:multiLevelType w:val="multilevel"/>
    <w:tmpl w:val="4AC040E8"/>
    <w:lvl w:ilvl="0">
      <w:start w:val="14"/>
      <w:numFmt w:val="decimal"/>
      <w:lvlText w:val="%1"/>
      <w:lvlJc w:val="left"/>
      <w:pPr>
        <w:tabs>
          <w:tab w:val="num" w:pos="2250"/>
        </w:tabs>
        <w:ind w:left="2250" w:hanging="2250"/>
      </w:pPr>
      <w:rPr>
        <w:rFonts w:hint="default"/>
      </w:rPr>
    </w:lvl>
    <w:lvl w:ilvl="1">
      <w:start w:val="2"/>
      <w:numFmt w:val="decimal"/>
      <w:lvlText w:val="%1-%2"/>
      <w:lvlJc w:val="left"/>
      <w:pPr>
        <w:tabs>
          <w:tab w:val="num" w:pos="2250"/>
        </w:tabs>
        <w:ind w:left="2250" w:hanging="2250"/>
      </w:pPr>
      <w:rPr>
        <w:rFonts w:hint="default"/>
      </w:rPr>
    </w:lvl>
    <w:lvl w:ilvl="2">
      <w:start w:val="1"/>
      <w:numFmt w:val="decimal"/>
      <w:lvlText w:val="%1-%2.%3"/>
      <w:lvlJc w:val="left"/>
      <w:pPr>
        <w:tabs>
          <w:tab w:val="num" w:pos="2250"/>
        </w:tabs>
        <w:ind w:left="2250" w:hanging="2250"/>
      </w:pPr>
      <w:rPr>
        <w:rFonts w:hint="default"/>
      </w:rPr>
    </w:lvl>
    <w:lvl w:ilvl="3">
      <w:start w:val="1"/>
      <w:numFmt w:val="decimal"/>
      <w:lvlText w:val="%1-%2.%3.%4"/>
      <w:lvlJc w:val="left"/>
      <w:pPr>
        <w:tabs>
          <w:tab w:val="num" w:pos="2250"/>
        </w:tabs>
        <w:ind w:left="2250" w:hanging="2250"/>
      </w:pPr>
      <w:rPr>
        <w:rFonts w:hint="default"/>
      </w:rPr>
    </w:lvl>
    <w:lvl w:ilvl="4">
      <w:start w:val="1"/>
      <w:numFmt w:val="decimal"/>
      <w:lvlText w:val="%1-%2.%3.%4.%5"/>
      <w:lvlJc w:val="left"/>
      <w:pPr>
        <w:tabs>
          <w:tab w:val="num" w:pos="2250"/>
        </w:tabs>
        <w:ind w:left="2250" w:hanging="2250"/>
      </w:pPr>
      <w:rPr>
        <w:rFonts w:hint="default"/>
      </w:rPr>
    </w:lvl>
    <w:lvl w:ilvl="5">
      <w:start w:val="1"/>
      <w:numFmt w:val="decimal"/>
      <w:lvlText w:val="%1-%2.%3.%4.%5.%6"/>
      <w:lvlJc w:val="left"/>
      <w:pPr>
        <w:tabs>
          <w:tab w:val="num" w:pos="2250"/>
        </w:tabs>
        <w:ind w:left="2250" w:hanging="2250"/>
      </w:pPr>
      <w:rPr>
        <w:rFonts w:hint="default"/>
      </w:rPr>
    </w:lvl>
    <w:lvl w:ilvl="6">
      <w:start w:val="1"/>
      <w:numFmt w:val="decimal"/>
      <w:lvlText w:val="%1-%2.%3.%4.%5.%6.%7"/>
      <w:lvlJc w:val="left"/>
      <w:pPr>
        <w:tabs>
          <w:tab w:val="num" w:pos="2250"/>
        </w:tabs>
        <w:ind w:left="2250" w:hanging="2250"/>
      </w:pPr>
      <w:rPr>
        <w:rFonts w:hint="default"/>
      </w:rPr>
    </w:lvl>
    <w:lvl w:ilvl="7">
      <w:start w:val="1"/>
      <w:numFmt w:val="decimal"/>
      <w:lvlText w:val="%1-%2.%3.%4.%5.%6.%7.%8"/>
      <w:lvlJc w:val="left"/>
      <w:pPr>
        <w:tabs>
          <w:tab w:val="num" w:pos="2250"/>
        </w:tabs>
        <w:ind w:left="2250" w:hanging="2250"/>
      </w:pPr>
      <w:rPr>
        <w:rFonts w:hint="default"/>
      </w:rPr>
    </w:lvl>
    <w:lvl w:ilvl="8">
      <w:start w:val="1"/>
      <w:numFmt w:val="decimal"/>
      <w:lvlText w:val="%1-%2.%3.%4.%5.%6.%7.%8.%9"/>
      <w:lvlJc w:val="left"/>
      <w:pPr>
        <w:tabs>
          <w:tab w:val="num" w:pos="2250"/>
        </w:tabs>
        <w:ind w:left="2250" w:hanging="2250"/>
      </w:pPr>
      <w:rPr>
        <w:rFonts w:hint="default"/>
      </w:rPr>
    </w:lvl>
  </w:abstractNum>
  <w:num w:numId="1" w16cid:durableId="1042631534">
    <w:abstractNumId w:val="31"/>
  </w:num>
  <w:num w:numId="2" w16cid:durableId="1401291036">
    <w:abstractNumId w:val="12"/>
  </w:num>
  <w:num w:numId="3" w16cid:durableId="1273053689">
    <w:abstractNumId w:val="5"/>
  </w:num>
  <w:num w:numId="4" w16cid:durableId="991711538">
    <w:abstractNumId w:val="22"/>
  </w:num>
  <w:num w:numId="5" w16cid:durableId="1267689471">
    <w:abstractNumId w:val="20"/>
  </w:num>
  <w:num w:numId="6" w16cid:durableId="1612084087">
    <w:abstractNumId w:val="1"/>
  </w:num>
  <w:num w:numId="7" w16cid:durableId="1518079892">
    <w:abstractNumId w:val="11"/>
  </w:num>
  <w:num w:numId="8" w16cid:durableId="666445109">
    <w:abstractNumId w:val="9"/>
  </w:num>
  <w:num w:numId="9" w16cid:durableId="1794589258">
    <w:abstractNumId w:val="15"/>
  </w:num>
  <w:num w:numId="10" w16cid:durableId="1298995441">
    <w:abstractNumId w:val="6"/>
  </w:num>
  <w:num w:numId="11" w16cid:durableId="777989133">
    <w:abstractNumId w:val="19"/>
  </w:num>
  <w:num w:numId="12" w16cid:durableId="2021394418">
    <w:abstractNumId w:val="7"/>
  </w:num>
  <w:num w:numId="13" w16cid:durableId="1577279924">
    <w:abstractNumId w:val="26"/>
  </w:num>
  <w:num w:numId="14" w16cid:durableId="178085001">
    <w:abstractNumId w:val="16"/>
  </w:num>
  <w:num w:numId="15" w16cid:durableId="1213300330">
    <w:abstractNumId w:val="21"/>
  </w:num>
  <w:num w:numId="16" w16cid:durableId="509149620">
    <w:abstractNumId w:val="28"/>
  </w:num>
  <w:num w:numId="17" w16cid:durableId="959848003">
    <w:abstractNumId w:val="29"/>
  </w:num>
  <w:num w:numId="18" w16cid:durableId="763839001">
    <w:abstractNumId w:val="4"/>
  </w:num>
  <w:num w:numId="19" w16cid:durableId="2000889170">
    <w:abstractNumId w:val="24"/>
  </w:num>
  <w:num w:numId="20" w16cid:durableId="99688844">
    <w:abstractNumId w:val="0"/>
  </w:num>
  <w:num w:numId="21" w16cid:durableId="686713743">
    <w:abstractNumId w:val="14"/>
  </w:num>
  <w:num w:numId="22" w16cid:durableId="1783497390">
    <w:abstractNumId w:val="18"/>
  </w:num>
  <w:num w:numId="23" w16cid:durableId="1442723885">
    <w:abstractNumId w:val="8"/>
  </w:num>
  <w:num w:numId="24" w16cid:durableId="1761171254">
    <w:abstractNumId w:val="13"/>
  </w:num>
  <w:num w:numId="25" w16cid:durableId="1548300159">
    <w:abstractNumId w:val="23"/>
  </w:num>
  <w:num w:numId="26" w16cid:durableId="1118454661">
    <w:abstractNumId w:val="17"/>
  </w:num>
  <w:num w:numId="27" w16cid:durableId="1794250417">
    <w:abstractNumId w:val="2"/>
  </w:num>
  <w:num w:numId="28" w16cid:durableId="1653411043">
    <w:abstractNumId w:val="30"/>
  </w:num>
  <w:num w:numId="29" w16cid:durableId="618344715">
    <w:abstractNumId w:val="25"/>
  </w:num>
  <w:num w:numId="30" w16cid:durableId="443502343">
    <w:abstractNumId w:val="3"/>
  </w:num>
  <w:num w:numId="31" w16cid:durableId="381444543">
    <w:abstractNumId w:val="10"/>
  </w:num>
  <w:num w:numId="32" w16cid:durableId="115737846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814"/>
    <w:rsid w:val="0001639E"/>
    <w:rsid w:val="00027E6E"/>
    <w:rsid w:val="000A01EF"/>
    <w:rsid w:val="000C7F3B"/>
    <w:rsid w:val="00172350"/>
    <w:rsid w:val="001C71E7"/>
    <w:rsid w:val="00271467"/>
    <w:rsid w:val="002718D7"/>
    <w:rsid w:val="00272958"/>
    <w:rsid w:val="002F734B"/>
    <w:rsid w:val="003076A8"/>
    <w:rsid w:val="003C1623"/>
    <w:rsid w:val="003E4F6C"/>
    <w:rsid w:val="0042228C"/>
    <w:rsid w:val="00423078"/>
    <w:rsid w:val="00434A38"/>
    <w:rsid w:val="00441841"/>
    <w:rsid w:val="00494C85"/>
    <w:rsid w:val="004B10CA"/>
    <w:rsid w:val="004B4B06"/>
    <w:rsid w:val="004C2CBF"/>
    <w:rsid w:val="004C723D"/>
    <w:rsid w:val="004C7A0B"/>
    <w:rsid w:val="00535E2E"/>
    <w:rsid w:val="00585302"/>
    <w:rsid w:val="00671814"/>
    <w:rsid w:val="00676DBD"/>
    <w:rsid w:val="00680894"/>
    <w:rsid w:val="006C38DA"/>
    <w:rsid w:val="0071706D"/>
    <w:rsid w:val="00727E2D"/>
    <w:rsid w:val="007B21AB"/>
    <w:rsid w:val="007C4B50"/>
    <w:rsid w:val="007D34A9"/>
    <w:rsid w:val="00804527"/>
    <w:rsid w:val="0081683E"/>
    <w:rsid w:val="008B05DA"/>
    <w:rsid w:val="008C2C5E"/>
    <w:rsid w:val="008E4994"/>
    <w:rsid w:val="009C21F1"/>
    <w:rsid w:val="009D18E2"/>
    <w:rsid w:val="009E3B75"/>
    <w:rsid w:val="009E407B"/>
    <w:rsid w:val="009F5F02"/>
    <w:rsid w:val="00A13802"/>
    <w:rsid w:val="00A30D35"/>
    <w:rsid w:val="00A5617A"/>
    <w:rsid w:val="00A6037B"/>
    <w:rsid w:val="00AC095B"/>
    <w:rsid w:val="00AC47A2"/>
    <w:rsid w:val="00AE6C9D"/>
    <w:rsid w:val="00AF33DF"/>
    <w:rsid w:val="00B26303"/>
    <w:rsid w:val="00B52FEC"/>
    <w:rsid w:val="00B70E60"/>
    <w:rsid w:val="00B749AA"/>
    <w:rsid w:val="00BC5C2A"/>
    <w:rsid w:val="00BD3297"/>
    <w:rsid w:val="00C150D1"/>
    <w:rsid w:val="00C34B2B"/>
    <w:rsid w:val="00C76FAE"/>
    <w:rsid w:val="00CF67F3"/>
    <w:rsid w:val="00D6108A"/>
    <w:rsid w:val="00D7113B"/>
    <w:rsid w:val="00DE52F8"/>
    <w:rsid w:val="00DF5506"/>
    <w:rsid w:val="00E161D9"/>
    <w:rsid w:val="00E35E23"/>
    <w:rsid w:val="00E770C8"/>
    <w:rsid w:val="00E8076A"/>
    <w:rsid w:val="00EA6468"/>
    <w:rsid w:val="00EE5E4A"/>
    <w:rsid w:val="00F312B4"/>
    <w:rsid w:val="00F6270D"/>
    <w:rsid w:val="00FA681C"/>
    <w:rsid w:val="00FA77EC"/>
    <w:rsid w:val="00FC4D36"/>
    <w:rsid w:val="00FE5647"/>
    <w:rsid w:val="0152AE2A"/>
    <w:rsid w:val="02D6326D"/>
    <w:rsid w:val="0344FB17"/>
    <w:rsid w:val="036D30A7"/>
    <w:rsid w:val="04114AF8"/>
    <w:rsid w:val="06800362"/>
    <w:rsid w:val="07D5B488"/>
    <w:rsid w:val="0840CF52"/>
    <w:rsid w:val="08D24405"/>
    <w:rsid w:val="0C7F798C"/>
    <w:rsid w:val="0D32B9B8"/>
    <w:rsid w:val="0D7E22AD"/>
    <w:rsid w:val="11AA2475"/>
    <w:rsid w:val="13272175"/>
    <w:rsid w:val="13FCB478"/>
    <w:rsid w:val="183F934A"/>
    <w:rsid w:val="1A66F3D3"/>
    <w:rsid w:val="1BC39040"/>
    <w:rsid w:val="1D0F3F1C"/>
    <w:rsid w:val="1DB4BD85"/>
    <w:rsid w:val="20D3D4BF"/>
    <w:rsid w:val="22FDA2DB"/>
    <w:rsid w:val="25EB0DE1"/>
    <w:rsid w:val="25F23331"/>
    <w:rsid w:val="2734209B"/>
    <w:rsid w:val="2B213DFE"/>
    <w:rsid w:val="2C5FA328"/>
    <w:rsid w:val="2D1684DD"/>
    <w:rsid w:val="2E61B874"/>
    <w:rsid w:val="2FD23ABA"/>
    <w:rsid w:val="309067FF"/>
    <w:rsid w:val="31D1AC54"/>
    <w:rsid w:val="32211350"/>
    <w:rsid w:val="33524FD7"/>
    <w:rsid w:val="33BE6F6C"/>
    <w:rsid w:val="33C15D1D"/>
    <w:rsid w:val="35267E79"/>
    <w:rsid w:val="35502F59"/>
    <w:rsid w:val="383EF0E3"/>
    <w:rsid w:val="39E581C8"/>
    <w:rsid w:val="3A4A218E"/>
    <w:rsid w:val="3A6056B2"/>
    <w:rsid w:val="3AD8981E"/>
    <w:rsid w:val="3C2361A7"/>
    <w:rsid w:val="3C933CD8"/>
    <w:rsid w:val="3D7104B0"/>
    <w:rsid w:val="3E714C44"/>
    <w:rsid w:val="4025BE2B"/>
    <w:rsid w:val="44C3CC4A"/>
    <w:rsid w:val="4677FD46"/>
    <w:rsid w:val="47EA3E9F"/>
    <w:rsid w:val="4830D010"/>
    <w:rsid w:val="4A67809E"/>
    <w:rsid w:val="4A97E39F"/>
    <w:rsid w:val="4CFB6110"/>
    <w:rsid w:val="5250D1AE"/>
    <w:rsid w:val="5294A2CF"/>
    <w:rsid w:val="559E273E"/>
    <w:rsid w:val="57C69D72"/>
    <w:rsid w:val="5AB54545"/>
    <w:rsid w:val="5B0AE00B"/>
    <w:rsid w:val="5E38894A"/>
    <w:rsid w:val="622A2235"/>
    <w:rsid w:val="6540F227"/>
    <w:rsid w:val="699E4CA8"/>
    <w:rsid w:val="6BB4096D"/>
    <w:rsid w:val="6C748500"/>
    <w:rsid w:val="6C8CAFFB"/>
    <w:rsid w:val="6DC87F17"/>
    <w:rsid w:val="6E8AA0AA"/>
    <w:rsid w:val="6EDF9F47"/>
    <w:rsid w:val="6F4D7B02"/>
    <w:rsid w:val="6FAEE144"/>
    <w:rsid w:val="706FEBDF"/>
    <w:rsid w:val="73F28F2C"/>
    <w:rsid w:val="7568022E"/>
    <w:rsid w:val="7A11537F"/>
    <w:rsid w:val="7D609AD8"/>
    <w:rsid w:val="7D7BCC5A"/>
    <w:rsid w:val="7FCF2A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720C7B"/>
  <w15:chartTrackingRefBased/>
  <w15:docId w15:val="{CBAB2A79-1B49-6043-BE90-022CE5541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Hyperlink" w:uiPriority="99"/>
    <w:lsdException w:name="Strong" w:uiPriority="22"/>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0E60"/>
    <w:pPr>
      <w:spacing w:after="120"/>
      <w:ind w:left="539" w:hanging="539"/>
    </w:pPr>
    <w:rPr>
      <w:rFonts w:ascii="Arial" w:hAnsi="Arial" w:cs="Arial"/>
      <w:sz w:val="22"/>
      <w:szCs w:val="24"/>
      <w:lang w:val="en-GB" w:eastAsia="en-US"/>
    </w:rPr>
  </w:style>
  <w:style w:type="paragraph" w:styleId="Heading1">
    <w:name w:val="heading 1"/>
    <w:aliases w:val="Policy Heading"/>
    <w:basedOn w:val="Normal"/>
    <w:next w:val="Normal"/>
    <w:qFormat/>
    <w:rsid w:val="004C2CBF"/>
    <w:pPr>
      <w:spacing w:after="0"/>
      <w:ind w:left="0" w:firstLine="0"/>
      <w:outlineLvl w:val="0"/>
    </w:pPr>
    <w:rPr>
      <w:b/>
      <w:color w:val="747E7E"/>
      <w:sz w:val="27"/>
      <w:szCs w:val="27"/>
      <w:shd w:val="clear" w:color="auto" w:fill="FFFFFF"/>
    </w:rPr>
  </w:style>
  <w:style w:type="paragraph" w:styleId="Heading2">
    <w:name w:val="heading 2"/>
    <w:basedOn w:val="Normal"/>
    <w:next w:val="Normal"/>
    <w:rsid w:val="004C2CBF"/>
    <w:pPr>
      <w:keepNext/>
      <w:jc w:val="center"/>
      <w:outlineLvl w:val="1"/>
    </w:pPr>
    <w:rPr>
      <w:b/>
      <w:bCs/>
      <w:sz w:val="32"/>
    </w:rPr>
  </w:style>
  <w:style w:type="paragraph" w:styleId="Heading3">
    <w:name w:val="heading 3"/>
    <w:basedOn w:val="Normal"/>
    <w:next w:val="Normal"/>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540"/>
      </w:tabs>
      <w:spacing w:before="120"/>
      <w:ind w:left="540" w:hanging="540"/>
    </w:pPr>
  </w:style>
  <w:style w:type="paragraph" w:styleId="ListParagraph">
    <w:name w:val="List Paragraph"/>
    <w:basedOn w:val="Normal"/>
    <w:uiPriority w:val="34"/>
    <w:rsid w:val="00727E2D"/>
    <w:pPr>
      <w:ind w:left="720"/>
      <w:contextualSpacing/>
    </w:pPr>
  </w:style>
  <w:style w:type="paragraph" w:customStyle="1" w:styleId="TableParagraph">
    <w:name w:val="Table Paragraph"/>
    <w:basedOn w:val="Normal"/>
    <w:uiPriority w:val="1"/>
    <w:rsid w:val="00B70E60"/>
    <w:pPr>
      <w:widowControl w:val="0"/>
      <w:autoSpaceDE w:val="0"/>
      <w:autoSpaceDN w:val="0"/>
      <w:spacing w:after="0"/>
      <w:ind w:left="0" w:firstLine="0"/>
    </w:pPr>
    <w:rPr>
      <w:rFonts w:eastAsia="Arial"/>
      <w:szCs w:val="22"/>
      <w:lang w:val="en-US" w:bidi="en-US"/>
    </w:rPr>
  </w:style>
  <w:style w:type="character" w:styleId="Strong">
    <w:name w:val="Strong"/>
    <w:basedOn w:val="DefaultParagraphFont"/>
    <w:uiPriority w:val="22"/>
    <w:rsid w:val="00EE5E4A"/>
    <w:rPr>
      <w:b/>
      <w:bCs/>
    </w:rPr>
  </w:style>
  <w:style w:type="paragraph" w:styleId="TOCHeading">
    <w:name w:val="TOC Heading"/>
    <w:basedOn w:val="Heading1"/>
    <w:next w:val="Normal"/>
    <w:uiPriority w:val="39"/>
    <w:unhideWhenUsed/>
    <w:qFormat/>
    <w:rsid w:val="00494C85"/>
  </w:style>
  <w:style w:type="paragraph" w:styleId="TOC3">
    <w:name w:val="toc 3"/>
    <w:basedOn w:val="Normal"/>
    <w:next w:val="Normal"/>
    <w:autoRedefine/>
    <w:uiPriority w:val="39"/>
    <w:rsid w:val="00494C85"/>
    <w:pPr>
      <w:spacing w:after="0"/>
      <w:ind w:left="220"/>
    </w:pPr>
    <w:rPr>
      <w:rFonts w:asciiTheme="minorHAnsi" w:hAnsiTheme="minorHAnsi" w:cstheme="minorHAnsi"/>
      <w:sz w:val="20"/>
    </w:rPr>
  </w:style>
  <w:style w:type="paragraph" w:styleId="TOC1">
    <w:name w:val="toc 1"/>
    <w:basedOn w:val="Normal"/>
    <w:next w:val="Normal"/>
    <w:autoRedefine/>
    <w:uiPriority w:val="39"/>
    <w:rsid w:val="00494C85"/>
    <w:pPr>
      <w:spacing w:before="360" w:after="0"/>
      <w:ind w:left="0"/>
    </w:pPr>
    <w:rPr>
      <w:rFonts w:asciiTheme="majorHAnsi" w:hAnsiTheme="majorHAnsi" w:cstheme="majorHAnsi"/>
      <w:b/>
      <w:bCs/>
      <w:caps/>
      <w:sz w:val="24"/>
      <w:szCs w:val="28"/>
    </w:rPr>
  </w:style>
  <w:style w:type="character" w:styleId="Hyperlink">
    <w:name w:val="Hyperlink"/>
    <w:basedOn w:val="DefaultParagraphFont"/>
    <w:uiPriority w:val="99"/>
    <w:unhideWhenUsed/>
    <w:rsid w:val="00494C85"/>
    <w:rPr>
      <w:color w:val="0563C1" w:themeColor="hyperlink"/>
      <w:u w:val="single"/>
    </w:rPr>
  </w:style>
  <w:style w:type="paragraph" w:styleId="TOC2">
    <w:name w:val="toc 2"/>
    <w:basedOn w:val="Normal"/>
    <w:next w:val="Normal"/>
    <w:autoRedefine/>
    <w:rsid w:val="00494C85"/>
    <w:pPr>
      <w:spacing w:before="240" w:after="0"/>
      <w:ind w:left="0"/>
    </w:pPr>
    <w:rPr>
      <w:rFonts w:asciiTheme="minorHAnsi" w:hAnsiTheme="minorHAnsi" w:cstheme="minorHAnsi"/>
      <w:b/>
      <w:bCs/>
      <w:sz w:val="20"/>
    </w:rPr>
  </w:style>
  <w:style w:type="paragraph" w:styleId="TOC4">
    <w:name w:val="toc 4"/>
    <w:basedOn w:val="Normal"/>
    <w:next w:val="Normal"/>
    <w:autoRedefine/>
    <w:rsid w:val="00494C85"/>
    <w:pPr>
      <w:spacing w:after="0"/>
      <w:ind w:left="440"/>
    </w:pPr>
    <w:rPr>
      <w:rFonts w:asciiTheme="minorHAnsi" w:hAnsiTheme="minorHAnsi" w:cstheme="minorHAnsi"/>
      <w:sz w:val="20"/>
    </w:rPr>
  </w:style>
  <w:style w:type="paragraph" w:styleId="TOC5">
    <w:name w:val="toc 5"/>
    <w:basedOn w:val="Normal"/>
    <w:next w:val="Normal"/>
    <w:autoRedefine/>
    <w:rsid w:val="00494C85"/>
    <w:pPr>
      <w:spacing w:after="0"/>
      <w:ind w:left="660"/>
    </w:pPr>
    <w:rPr>
      <w:rFonts w:asciiTheme="minorHAnsi" w:hAnsiTheme="minorHAnsi" w:cstheme="minorHAnsi"/>
      <w:sz w:val="20"/>
    </w:rPr>
  </w:style>
  <w:style w:type="paragraph" w:styleId="TOC6">
    <w:name w:val="toc 6"/>
    <w:basedOn w:val="Normal"/>
    <w:next w:val="Normal"/>
    <w:autoRedefine/>
    <w:rsid w:val="00494C85"/>
    <w:pPr>
      <w:spacing w:after="0"/>
      <w:ind w:left="880"/>
    </w:pPr>
    <w:rPr>
      <w:rFonts w:asciiTheme="minorHAnsi" w:hAnsiTheme="minorHAnsi" w:cstheme="minorHAnsi"/>
      <w:sz w:val="20"/>
    </w:rPr>
  </w:style>
  <w:style w:type="paragraph" w:styleId="TOC7">
    <w:name w:val="toc 7"/>
    <w:basedOn w:val="Normal"/>
    <w:next w:val="Normal"/>
    <w:autoRedefine/>
    <w:rsid w:val="00494C85"/>
    <w:pPr>
      <w:spacing w:after="0"/>
      <w:ind w:left="1100"/>
    </w:pPr>
    <w:rPr>
      <w:rFonts w:asciiTheme="minorHAnsi" w:hAnsiTheme="minorHAnsi" w:cstheme="minorHAnsi"/>
      <w:sz w:val="20"/>
    </w:rPr>
  </w:style>
  <w:style w:type="paragraph" w:styleId="TOC8">
    <w:name w:val="toc 8"/>
    <w:basedOn w:val="Normal"/>
    <w:next w:val="Normal"/>
    <w:autoRedefine/>
    <w:rsid w:val="00494C85"/>
    <w:pPr>
      <w:spacing w:after="0"/>
      <w:ind w:left="1320"/>
    </w:pPr>
    <w:rPr>
      <w:rFonts w:asciiTheme="minorHAnsi" w:hAnsiTheme="minorHAnsi" w:cstheme="minorHAnsi"/>
      <w:sz w:val="20"/>
    </w:rPr>
  </w:style>
  <w:style w:type="paragraph" w:styleId="TOC9">
    <w:name w:val="toc 9"/>
    <w:basedOn w:val="Normal"/>
    <w:next w:val="Normal"/>
    <w:autoRedefine/>
    <w:rsid w:val="00494C85"/>
    <w:pPr>
      <w:spacing w:after="0"/>
      <w:ind w:left="1540"/>
    </w:pPr>
    <w:rPr>
      <w:rFonts w:asciiTheme="minorHAnsi" w:hAnsiTheme="minorHAnsi" w:cstheme="minorHAnsi"/>
      <w:sz w:val="20"/>
    </w:rPr>
  </w:style>
  <w:style w:type="character" w:styleId="FollowedHyperlink">
    <w:name w:val="FollowedHyperlink"/>
    <w:basedOn w:val="DefaultParagraphFont"/>
    <w:rsid w:val="00494C85"/>
    <w:rPr>
      <w:color w:val="954F72" w:themeColor="followedHyperlink"/>
      <w:u w:val="single"/>
    </w:rPr>
  </w:style>
  <w:style w:type="paragraph" w:styleId="NormalWeb">
    <w:name w:val="Normal (Web)"/>
    <w:basedOn w:val="Normal"/>
    <w:uiPriority w:val="99"/>
    <w:unhideWhenUsed/>
    <w:rsid w:val="00434A38"/>
    <w:pPr>
      <w:spacing w:before="100" w:beforeAutospacing="1" w:after="100" w:afterAutospacing="1"/>
      <w:ind w:left="0" w:firstLine="0"/>
    </w:pPr>
    <w:rPr>
      <w:rFonts w:ascii="Times New Roman" w:eastAsiaTheme="minorEastAsia" w:hAnsi="Times New Roman" w:cs="Times New Roman"/>
      <w:sz w:val="24"/>
      <w:lang w:eastAsia="en-GB"/>
    </w:rPr>
  </w:style>
  <w:style w:type="table" w:styleId="TableGrid">
    <w:name w:val="Table Grid"/>
    <w:basedOn w:val="TableNormal"/>
    <w:uiPriority w:val="59"/>
    <w:rsid w:val="00434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6">
    <w:name w:val="Grid Table 2 Accent 6"/>
    <w:basedOn w:val="TableNormal"/>
    <w:uiPriority w:val="47"/>
    <w:rsid w:val="004B4B06"/>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2">
    <w:name w:val="Grid Table 4 Accent 2"/>
    <w:basedOn w:val="TableNormal"/>
    <w:uiPriority w:val="49"/>
    <w:rsid w:val="004B4B06"/>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6">
    <w:name w:val="Grid Table 4 Accent 6"/>
    <w:basedOn w:val="TableNormal"/>
    <w:uiPriority w:val="49"/>
    <w:rsid w:val="004B4B0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5">
    <w:name w:val="Grid Table 4 Accent 5"/>
    <w:basedOn w:val="TableNormal"/>
    <w:uiPriority w:val="49"/>
    <w:rsid w:val="004B4B06"/>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63556">
      <w:bodyDiv w:val="1"/>
      <w:marLeft w:val="0"/>
      <w:marRight w:val="0"/>
      <w:marTop w:val="0"/>
      <w:marBottom w:val="0"/>
      <w:divBdr>
        <w:top w:val="none" w:sz="0" w:space="0" w:color="auto"/>
        <w:left w:val="none" w:sz="0" w:space="0" w:color="auto"/>
        <w:bottom w:val="none" w:sz="0" w:space="0" w:color="auto"/>
        <w:right w:val="none" w:sz="0" w:space="0" w:color="auto"/>
      </w:divBdr>
    </w:div>
    <w:div w:id="213844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843322520FA7243826138B157DCDA03" ma:contentTypeVersion="19" ma:contentTypeDescription="Create a new document." ma:contentTypeScope="" ma:versionID="82528ef396e5304a86a797d7737aa5e3">
  <xsd:schema xmlns:xsd="http://www.w3.org/2001/XMLSchema" xmlns:xs="http://www.w3.org/2001/XMLSchema" xmlns:p="http://schemas.microsoft.com/office/2006/metadata/properties" xmlns:ns2="463b8456-0388-4a23-89ca-3392ae9be8e2" xmlns:ns3="07733a13-d1c9-4985-9318-6bdb52ed6ab4" targetNamespace="http://schemas.microsoft.com/office/2006/metadata/properties" ma:root="true" ma:fieldsID="11e50806d6168402f2db4fe23296d4ac" ns2:_="" ns3:_="">
    <xsd:import namespace="463b8456-0388-4a23-89ca-3392ae9be8e2"/>
    <xsd:import namespace="07733a13-d1c9-4985-9318-6bdb52ed6ab4"/>
    <xsd:element name="properties">
      <xsd:complexType>
        <xsd:sequence>
          <xsd:element name="documentManagement">
            <xsd:complexType>
              <xsd:all>
                <xsd:element ref="ns2:DocumentType" minOccurs="0"/>
                <xsd:element ref="ns2:Category"/>
                <xsd:element ref="ns2:Sub_x002d_Category" minOccurs="0"/>
                <xsd:element ref="ns2:RecordFileStatus" minOccurs="0"/>
                <xsd:element ref="ns2:MediaServiceMetadata" minOccurs="0"/>
                <xsd:element ref="ns2:MediaServiceFastMetadata" minOccurs="0"/>
                <xsd:element ref="ns2:Responsibiliti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3b8456-0388-4a23-89ca-3392ae9be8e2" elementFormDefault="qualified">
    <xsd:import namespace="http://schemas.microsoft.com/office/2006/documentManagement/types"/>
    <xsd:import namespace="http://schemas.microsoft.com/office/infopath/2007/PartnerControls"/>
    <xsd:element name="DocumentType" ma:index="8" nillable="true" ma:displayName="Record Type" ma:description="Select the type of document this item is" ma:format="Dropdown" ma:indexed="true" ma:internalName="DocumentType">
      <xsd:simpleType>
        <xsd:restriction base="dms:Choice">
          <xsd:enumeration value="Policy"/>
          <xsd:enumeration value="Procedure"/>
          <xsd:enumeration value="Work Instruction"/>
          <xsd:enumeration value="Form"/>
          <xsd:enumeration value="Guide/Handbook"/>
          <xsd:enumeration value="Web Link"/>
          <xsd:enumeration value="External Document"/>
        </xsd:restriction>
      </xsd:simpleType>
    </xsd:element>
    <xsd:element name="Category" ma:index="9" ma:displayName="Category" ma:description="Which part of the manual does this record exist within" ma:format="Dropdown" ma:internalName="Category">
      <xsd:simpleType>
        <xsd:union memberTypes="dms:Text">
          <xsd:simpleType>
            <xsd:restriction base="dms:Choice">
              <xsd:enumeration value="01.00. Central"/>
              <xsd:enumeration value="02.00. Delivery"/>
              <xsd:enumeration value="02.01. Apprentices"/>
              <xsd:enumeration value="02.02. Education"/>
              <xsd:enumeration value="02.03. Commercial"/>
              <xsd:enumeration value="02.10. Quality"/>
              <xsd:enumeration value="02.11. Registration and Accreditation"/>
              <xsd:enumeration value="02.12. Safeguarding and Well-being"/>
              <xsd:enumeration value="03.00. Function"/>
              <xsd:enumeration value="03.01. Financial"/>
              <xsd:enumeration value="03.02. Employee"/>
              <xsd:enumeration value="03.03. Administration"/>
              <xsd:enumeration value="03.04. Facilities"/>
              <xsd:enumeration value="03.05. Marketing"/>
              <xsd:enumeration value="Choice 15"/>
            </xsd:restriction>
          </xsd:simpleType>
        </xsd:union>
      </xsd:simpleType>
    </xsd:element>
    <xsd:element name="Sub_x002d_Category" ma:index="10" nillable="true" ma:displayName="Sub-Category" ma:default="00. General" ma:format="Dropdown" ma:internalName="Sub_x002d_Category">
      <xsd:simpleType>
        <xsd:union memberTypes="dms:Text">
          <xsd:simpleType>
            <xsd:restriction base="dms:Choice">
              <xsd:enumeration value="00. General"/>
              <xsd:enumeration value="01. Enquiries and Onboarding"/>
              <xsd:enumeration value="02. On Programme"/>
              <xsd:enumeration value="03. On Exit"/>
              <xsd:enumeration value="04. Delivery Specific"/>
              <xsd:enumeration value="05. Funding Compliance"/>
              <xsd:enumeration value="90. Certifications"/>
              <xsd:enumeration value="A01. ACE360"/>
              <xsd:enumeration value="A03. BCS"/>
              <xsd:enumeration value="A05. BIIAB"/>
              <xsd:enumeration value="A06. CITB"/>
              <xsd:enumeration value="A08. CG"/>
              <xsd:enumeration value="A10. EAL"/>
              <xsd:enumeration value="A12. HABC"/>
              <xsd:enumeration value="A14. ILM"/>
              <xsd:enumeration value="A16. Pearson"/>
              <xsd:enumeration value="A11. TQUK"/>
            </xsd:restriction>
          </xsd:simpleType>
        </xsd:union>
      </xsd:simpleType>
    </xsd:element>
    <xsd:element name="RecordFileStatus" ma:index="11" nillable="true" ma:displayName="Document Status" ma:default="Issued (Live)" ma:format="Dropdown" ma:internalName="RecordFileStatus">
      <xsd:simpleType>
        <xsd:restriction base="dms:Choice">
          <xsd:enumeration value="Dormant"/>
          <xsd:enumeration value="Issued (Live)"/>
          <xsd:enumeration value="Issued (Under Review)"/>
          <xsd:enumeration value="Issued (Pending Approval)"/>
          <xsd:enumeration value="Withdrawn"/>
          <xsd:enumeration value="In Draft"/>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Responsibilities" ma:index="14" nillable="true" ma:displayName="Responsibilities" ma:description="This is the person who is responsible for maintaining and updating the record" ma:format="Dropdown" ma:internalName="Responsibilities">
      <xsd:simpleType>
        <xsd:restriction base="dms:Choice">
          <xsd:enumeration value="Senior (CEO)"/>
          <xsd:enumeration value="Senior (Operations)"/>
          <xsd:enumeration value="Senior (DSL)"/>
          <xsd:enumeration value="Senior (Quality)"/>
          <xsd:enumeration value="Senior (Finance)"/>
          <xsd:enumeration value="Senior (Data Systems)"/>
          <xsd:enumeration value="Senior (HR)"/>
          <xsd:enumeration value="Delivery (Commercial)"/>
          <xsd:enumeration value="Delivery (Education)"/>
          <xsd:enumeration value="Delivery (Skills)"/>
          <xsd:enumeration value="Quality Lead (Skills)"/>
          <xsd:enumeration value="Quality Lead (Education)"/>
          <xsd:enumeration value="Function (Marketing)"/>
          <xsd:enumeration value="Choice 14"/>
        </xsd:restriction>
      </xsd:simpleType>
    </xsd:element>
    <xsd:element name="MediaServiceObjectDetectorVersions" ma:index="17" nillable="true" ma:displayName="MediaServiceObjectDetectorVersions" ma:description="" ma:hidden="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733a13-d1c9-4985-9318-6bdb52ed6ab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umentType xmlns="463b8456-0388-4a23-89ca-3392ae9be8e2">Policy</DocumentType>
    <RecordFileStatus xmlns="463b8456-0388-4a23-89ca-3392ae9be8e2">Issued (Live)</RecordFileStatus>
    <Responsibilities xmlns="463b8456-0388-4a23-89ca-3392ae9be8e2">Senior (Data Systems)</Responsibilities>
    <Sub_x002d_Category xmlns="463b8456-0388-4a23-89ca-3392ae9be8e2">00. General</Sub_x002d_Category>
    <Category xmlns="463b8456-0388-4a23-89ca-3392ae9be8e2">01.00. Central</Category>
  </documentManagement>
</p:properties>
</file>

<file path=customXml/itemProps1.xml><?xml version="1.0" encoding="utf-8"?>
<ds:datastoreItem xmlns:ds="http://schemas.openxmlformats.org/officeDocument/2006/customXml" ds:itemID="{79BBA12B-442D-4796-AA88-E42C19B20600}">
  <ds:schemaRefs>
    <ds:schemaRef ds:uri="http://schemas.microsoft.com/office/2006/metadata/longProperties"/>
  </ds:schemaRefs>
</ds:datastoreItem>
</file>

<file path=customXml/itemProps2.xml><?xml version="1.0" encoding="utf-8"?>
<ds:datastoreItem xmlns:ds="http://schemas.openxmlformats.org/officeDocument/2006/customXml" ds:itemID="{A4A8C7DE-CE4B-AA4F-B7B4-DB30672CDEF0}">
  <ds:schemaRefs>
    <ds:schemaRef ds:uri="http://schemas.openxmlformats.org/officeDocument/2006/bibliography"/>
  </ds:schemaRefs>
</ds:datastoreItem>
</file>

<file path=customXml/itemProps3.xml><?xml version="1.0" encoding="utf-8"?>
<ds:datastoreItem xmlns:ds="http://schemas.openxmlformats.org/officeDocument/2006/customXml" ds:itemID="{7B9E47C2-47A7-49ED-883A-7DEEFA10571C}">
  <ds:schemaRefs>
    <ds:schemaRef ds:uri="http://schemas.microsoft.com/sharepoint/v3/contenttype/forms"/>
  </ds:schemaRefs>
</ds:datastoreItem>
</file>

<file path=customXml/itemProps4.xml><?xml version="1.0" encoding="utf-8"?>
<ds:datastoreItem xmlns:ds="http://schemas.openxmlformats.org/officeDocument/2006/customXml" ds:itemID="{DE8BFAE9-5861-4715-8804-5EF09C11E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3b8456-0388-4a23-89ca-3392ae9be8e2"/>
    <ds:schemaRef ds:uri="07733a13-d1c9-4985-9318-6bdb52ed6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793D77-2F38-4A7C-AFEE-72FE9EE5DA5B}">
  <ds:schemaRefs>
    <ds:schemaRef ds:uri="http://schemas.microsoft.com/office/2006/metadata/properties"/>
    <ds:schemaRef ds:uri="http://schemas.microsoft.com/office/infopath/2007/PartnerControls"/>
    <ds:schemaRef ds:uri="463b8456-0388-4a23-89ca-3392ae9be8e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2441</Words>
  <Characters>12687</Characters>
  <Application>Microsoft Office Word</Application>
  <DocSecurity>0</DocSecurity>
  <Lines>373</Lines>
  <Paragraphs>198</Paragraphs>
  <ScaleCrop>false</ScaleCrop>
  <Manager>Kirstie Wright (CEO)</Manager>
  <Company>WS Training</Company>
  <LinksUpToDate>false</LinksUpToDate>
  <CharactersWithSpaces>15000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dc:title>
  <dc:subject/>
  <dc:creator>Paul Rogers</dc:creator>
  <cp:keywords/>
  <dc:description>This is the property of WS Training, any unauthorised use must be reported.</dc:description>
  <cp:lastModifiedBy>Hanah Rayner</cp:lastModifiedBy>
  <cp:revision>2</cp:revision>
  <cp:lastPrinted>2007-11-19T18:23:00Z</cp:lastPrinted>
  <dcterms:created xsi:type="dcterms:W3CDTF">2026-01-26T12:43:00Z</dcterms:created>
  <dcterms:modified xsi:type="dcterms:W3CDTF">2026-01-26T12:43:00Z</dcterms:modified>
  <cp:category>Policy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0x010100E843322520FA7243826138B157DCDA03</vt:lpwstr>
  </property>
  <property fmtid="{D5CDD505-2E9C-101B-9397-08002B2CF9AE}" pid="3" name="Reference">
    <vt:lpwstr>01-04-000-000</vt:lpwstr>
  </property>
  <property fmtid="{D5CDD505-2E9C-101B-9397-08002B2CF9AE}" pid="4" name="Current Version">
    <vt:r8>4</vt:r8>
  </property>
  <property fmtid="{D5CDD505-2E9C-101B-9397-08002B2CF9AE}" pid="5" name="LastReviewDate">
    <vt:filetime>2024-01-15T00:00:00Z</vt:filetime>
  </property>
  <property fmtid="{D5CDD505-2E9C-101B-9397-08002B2CF9AE}" pid="6" name="RecordReviewDate">
    <vt:filetime>2025-01-31T00:00:00Z</vt:filetime>
  </property>
  <property fmtid="{D5CDD505-2E9C-101B-9397-08002B2CF9AE}" pid="7" name="ApprovalLevel">
    <vt:lpwstr>SMT</vt:lpwstr>
  </property>
  <property fmtid="{D5CDD505-2E9C-101B-9397-08002B2CF9AE}" pid="8" name="DocumentOwner">
    <vt:lpwstr>7;#Paul Rogers</vt:lpwstr>
  </property>
</Properties>
</file>